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24"/>
          <w:szCs w:val="24"/>
        </w:rPr>
      </w:pPr>
    </w:p>
    <w:p>
      <w:pPr>
        <w:rPr>
          <w:rFonts w:ascii="宋体" w:hAnsi="宋体"/>
          <w:b/>
          <w:color w:val="000000"/>
          <w:sz w:val="24"/>
          <w:szCs w:val="24"/>
        </w:rPr>
      </w:pPr>
    </w:p>
    <w:p>
      <w:pPr>
        <w:spacing w:line="600" w:lineRule="exact"/>
        <w:jc w:val="center"/>
        <w:rPr>
          <w:rFonts w:hint="eastAsia" w:ascii="Times New Roman" w:hAnsi="Times New Roman" w:eastAsia="方正小标宋简体" w:cs="Times New Roman"/>
          <w:b/>
          <w:sz w:val="44"/>
          <w:szCs w:val="44"/>
        </w:rPr>
      </w:pPr>
    </w:p>
    <w:p>
      <w:pPr>
        <w:spacing w:line="600" w:lineRule="exact"/>
        <w:jc w:val="center"/>
        <w:rPr>
          <w:rFonts w:ascii="Times New Roman" w:hAnsi="Times New Roman" w:eastAsia="方正小标宋简体" w:cs="Times New Roman"/>
          <w:b/>
          <w:sz w:val="48"/>
          <w:szCs w:val="44"/>
        </w:rPr>
      </w:pPr>
      <w:r>
        <w:rPr>
          <w:rFonts w:hint="eastAsia" w:ascii="Times New Roman" w:hAnsi="Times New Roman" w:eastAsia="方正小标宋简体" w:cs="Times New Roman"/>
          <w:b/>
          <w:sz w:val="48"/>
          <w:szCs w:val="44"/>
        </w:rPr>
        <w:t>聊城市“十四五”商务发展规划</w:t>
      </w:r>
    </w:p>
    <w:p>
      <w:pPr>
        <w:jc w:val="center"/>
        <w:rPr>
          <w:rFonts w:ascii="宋体" w:hAnsi="宋体"/>
          <w:b/>
          <w:color w:val="000000"/>
          <w:sz w:val="36"/>
          <w:szCs w:val="32"/>
        </w:rPr>
      </w:pPr>
      <w:r>
        <w:rPr>
          <w:rFonts w:hint="eastAsia" w:ascii="宋体" w:hAnsi="宋体"/>
          <w:b/>
          <w:color w:val="000000"/>
          <w:sz w:val="36"/>
          <w:szCs w:val="32"/>
        </w:rPr>
        <w:t>（</w:t>
      </w:r>
      <w:r>
        <w:rPr>
          <w:rFonts w:hint="eastAsia" w:ascii="宋体" w:hAnsi="宋体"/>
          <w:b/>
          <w:color w:val="000000"/>
          <w:sz w:val="36"/>
          <w:szCs w:val="32"/>
          <w:lang w:val="en-US" w:eastAsia="zh-CN"/>
        </w:rPr>
        <w:t>征求意见稿</w:t>
      </w:r>
      <w:r>
        <w:rPr>
          <w:rFonts w:hint="eastAsia" w:ascii="宋体" w:hAnsi="宋体"/>
          <w:b/>
          <w:color w:val="000000"/>
          <w:sz w:val="36"/>
          <w:szCs w:val="32"/>
        </w:rPr>
        <w:t>）</w:t>
      </w:r>
    </w:p>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楷体_GB2312"/>
          <w:spacing w:val="6"/>
          <w:sz w:val="32"/>
          <w:szCs w:val="32"/>
        </w:rPr>
      </w:pPr>
    </w:p>
    <w:p>
      <w:pPr>
        <w:ind w:firstLine="664" w:firstLineChars="200"/>
        <w:jc w:val="center"/>
        <w:rPr>
          <w:rFonts w:eastAsia="楷体_GB2312"/>
          <w:spacing w:val="6"/>
          <w:sz w:val="32"/>
          <w:szCs w:val="32"/>
        </w:rPr>
      </w:pPr>
    </w:p>
    <w:p>
      <w:pPr>
        <w:ind w:firstLine="664" w:firstLineChars="200"/>
        <w:jc w:val="center"/>
        <w:rPr>
          <w:rFonts w:eastAsia="楷体_GB2312"/>
          <w:spacing w:val="6"/>
          <w:sz w:val="32"/>
          <w:szCs w:val="32"/>
        </w:rPr>
      </w:pPr>
    </w:p>
    <w:p>
      <w:pPr>
        <w:ind w:firstLine="664" w:firstLineChars="200"/>
        <w:jc w:val="center"/>
        <w:rPr>
          <w:rFonts w:eastAsia="楷体_GB2312"/>
          <w:spacing w:val="6"/>
          <w:sz w:val="32"/>
          <w:szCs w:val="32"/>
        </w:rPr>
      </w:pPr>
    </w:p>
    <w:p>
      <w:pPr>
        <w:jc w:val="center"/>
        <w:rPr>
          <w:rFonts w:eastAsia="楷体_GB2312"/>
          <w:b/>
          <w:spacing w:val="6"/>
          <w:sz w:val="32"/>
          <w:szCs w:val="32"/>
        </w:rPr>
      </w:pPr>
      <w:r>
        <w:rPr>
          <w:rFonts w:hint="eastAsia" w:eastAsia="楷体_GB2312"/>
          <w:b/>
          <w:spacing w:val="6"/>
          <w:sz w:val="32"/>
          <w:szCs w:val="32"/>
        </w:rPr>
        <w:t>聊城市商务和投资促进局</w:t>
      </w:r>
    </w:p>
    <w:p>
      <w:pPr>
        <w:jc w:val="center"/>
      </w:pPr>
      <w:r>
        <w:rPr>
          <w:rFonts w:eastAsia="楷体_GB2312"/>
          <w:b/>
          <w:bCs/>
          <w:spacing w:val="6"/>
          <w:sz w:val="32"/>
          <w:szCs w:val="32"/>
        </w:rPr>
        <w:t>二</w:t>
      </w:r>
      <w:r>
        <w:rPr>
          <w:rFonts w:eastAsia="微软雅黑"/>
          <w:b/>
          <w:bCs/>
          <w:spacing w:val="6"/>
          <w:sz w:val="32"/>
          <w:szCs w:val="32"/>
        </w:rPr>
        <w:t>〇</w:t>
      </w:r>
      <w:r>
        <w:rPr>
          <w:rFonts w:eastAsia="楷体_GB2312"/>
          <w:b/>
          <w:bCs/>
          <w:spacing w:val="6"/>
          <w:sz w:val="32"/>
          <w:szCs w:val="32"/>
        </w:rPr>
        <w:t>二</w:t>
      </w:r>
      <w:r>
        <w:rPr>
          <w:rFonts w:hint="eastAsia" w:eastAsia="楷体_GB2312"/>
          <w:b/>
          <w:bCs/>
          <w:spacing w:val="6"/>
          <w:sz w:val="32"/>
          <w:szCs w:val="32"/>
        </w:rPr>
        <w:t>一</w:t>
      </w:r>
      <w:r>
        <w:rPr>
          <w:rFonts w:eastAsia="楷体_GB2312"/>
          <w:b/>
          <w:bCs/>
          <w:spacing w:val="6"/>
          <w:sz w:val="32"/>
          <w:szCs w:val="32"/>
        </w:rPr>
        <w:t>年</w:t>
      </w:r>
      <w:r>
        <w:rPr>
          <w:rFonts w:hint="eastAsia" w:eastAsia="楷体_GB2312"/>
          <w:b/>
          <w:bCs/>
          <w:spacing w:val="6"/>
          <w:sz w:val="32"/>
          <w:szCs w:val="32"/>
        </w:rPr>
        <w:t>四</w:t>
      </w:r>
      <w:r>
        <w:rPr>
          <w:rFonts w:eastAsia="楷体_GB2312"/>
          <w:b/>
          <w:bCs/>
          <w:spacing w:val="6"/>
          <w:sz w:val="32"/>
          <w:szCs w:val="32"/>
        </w:rPr>
        <w:t>月</w:t>
      </w:r>
    </w:p>
    <w:p>
      <w:pPr>
        <w:jc w:val="center"/>
      </w:pPr>
    </w:p>
    <w:p>
      <w:pPr>
        <w:jc w:val="center"/>
        <w:sectPr>
          <w:footerReference r:id="rId3" w:type="default"/>
          <w:pgSz w:w="11906" w:h="16838"/>
          <w:pgMar w:top="1474" w:right="1474" w:bottom="1474" w:left="1474" w:header="851" w:footer="992" w:gutter="0"/>
          <w:pgNumType w:fmt="lowerRoman" w:start="1"/>
          <w:cols w:space="720" w:num="1"/>
          <w:docGrid w:type="lines" w:linePitch="312" w:charSpace="0"/>
        </w:sectPr>
      </w:pPr>
    </w:p>
    <w:p/>
    <w:p>
      <w:pPr>
        <w:pStyle w:val="3"/>
        <w:spacing w:beforeLines="50" w:afterLines="50" w:line="360" w:lineRule="auto"/>
        <w:rPr>
          <w:rFonts w:ascii="Times New Roman" w:hAnsi="Times New Roman" w:eastAsia="华文中宋" w:cs="Times New Roman"/>
          <w:sz w:val="36"/>
          <w:szCs w:val="36"/>
        </w:rPr>
      </w:pPr>
      <w:bookmarkStart w:id="0" w:name="_Toc68698314"/>
      <w:r>
        <w:rPr>
          <w:rFonts w:hint="eastAsia" w:ascii="Times New Roman" w:hAnsi="Times New Roman" w:eastAsia="华文中宋" w:cs="Times New Roman"/>
          <w:sz w:val="36"/>
          <w:szCs w:val="36"/>
        </w:rPr>
        <w:t>前 言</w:t>
      </w:r>
      <w:bookmarkEnd w:id="0"/>
    </w:p>
    <w:p>
      <w:pPr>
        <w:spacing w:line="72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时期是开启全面现代化新征程的关键时期，是</w:t>
      </w:r>
      <w:r>
        <w:rPr>
          <w:rFonts w:hint="eastAsia" w:eastAsia="仿宋_GB2312"/>
          <w:sz w:val="32"/>
          <w:szCs w:val="32"/>
        </w:rPr>
        <w:t>聊城市</w:t>
      </w:r>
      <w:r>
        <w:rPr>
          <w:rFonts w:eastAsia="仿宋_GB2312"/>
          <w:sz w:val="32"/>
          <w:szCs w:val="32"/>
        </w:rPr>
        <w:t>实现新突破的重要阶段，也是</w:t>
      </w:r>
      <w:r>
        <w:rPr>
          <w:rFonts w:hint="eastAsia" w:eastAsia="仿宋_GB2312"/>
          <w:sz w:val="32"/>
          <w:szCs w:val="32"/>
        </w:rPr>
        <w:t>聊城市商务事业高质量发展</w:t>
      </w:r>
      <w:r>
        <w:rPr>
          <w:rFonts w:eastAsia="仿宋_GB2312"/>
          <w:sz w:val="32"/>
          <w:szCs w:val="32"/>
        </w:rPr>
        <w:t>的关键阶段。从</w:t>
      </w:r>
      <w:r>
        <w:rPr>
          <w:rFonts w:hint="eastAsia" w:eastAsia="仿宋_GB2312"/>
          <w:sz w:val="32"/>
          <w:szCs w:val="32"/>
        </w:rPr>
        <w:t>聊城</w:t>
      </w:r>
      <w:r>
        <w:rPr>
          <w:rFonts w:eastAsia="仿宋_GB2312"/>
          <w:sz w:val="32"/>
          <w:szCs w:val="32"/>
        </w:rPr>
        <w:t>市</w:t>
      </w:r>
      <w:r>
        <w:rPr>
          <w:rFonts w:hint="eastAsia" w:eastAsia="仿宋_GB2312"/>
          <w:sz w:val="32"/>
          <w:szCs w:val="32"/>
        </w:rPr>
        <w:t>“</w:t>
      </w:r>
      <w:r>
        <w:rPr>
          <w:rFonts w:eastAsia="仿宋_GB2312"/>
          <w:sz w:val="32"/>
          <w:szCs w:val="32"/>
        </w:rPr>
        <w:t>十三五</w:t>
      </w:r>
      <w:r>
        <w:rPr>
          <w:rFonts w:hint="eastAsia" w:eastAsia="仿宋_GB2312"/>
          <w:sz w:val="32"/>
          <w:szCs w:val="32"/>
        </w:rPr>
        <w:t>”商务发展</w:t>
      </w:r>
      <w:r>
        <w:rPr>
          <w:rFonts w:eastAsia="仿宋_GB2312"/>
          <w:sz w:val="32"/>
          <w:szCs w:val="32"/>
        </w:rPr>
        <w:t>的现实出发，全面总结</w:t>
      </w:r>
      <w:r>
        <w:rPr>
          <w:rFonts w:hint="eastAsia" w:eastAsia="仿宋_GB2312"/>
          <w:sz w:val="32"/>
          <w:szCs w:val="32"/>
        </w:rPr>
        <w:t>商务</w:t>
      </w:r>
      <w:r>
        <w:rPr>
          <w:rFonts w:eastAsia="仿宋_GB2312"/>
          <w:sz w:val="32"/>
          <w:szCs w:val="32"/>
        </w:rPr>
        <w:t>发展取得的成就，客观研判</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期间</w:t>
      </w:r>
      <w:r>
        <w:rPr>
          <w:rFonts w:hint="eastAsia" w:eastAsia="仿宋_GB2312"/>
          <w:sz w:val="32"/>
          <w:szCs w:val="32"/>
        </w:rPr>
        <w:t>商务</w:t>
      </w:r>
      <w:r>
        <w:rPr>
          <w:rFonts w:eastAsia="仿宋_GB2312"/>
          <w:sz w:val="32"/>
          <w:szCs w:val="32"/>
        </w:rPr>
        <w:t>发展面临的机遇</w:t>
      </w:r>
      <w:r>
        <w:rPr>
          <w:rFonts w:hint="eastAsia" w:eastAsia="仿宋_GB2312"/>
          <w:sz w:val="32"/>
          <w:szCs w:val="32"/>
          <w:lang w:val="en-US" w:eastAsia="zh-CN"/>
        </w:rPr>
        <w:t>和</w:t>
      </w:r>
      <w:r>
        <w:rPr>
          <w:rFonts w:eastAsia="仿宋_GB2312"/>
          <w:sz w:val="32"/>
          <w:szCs w:val="32"/>
        </w:rPr>
        <w:t>挑战，科学制定</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时期</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发展的</w:t>
      </w:r>
      <w:r>
        <w:rPr>
          <w:rFonts w:hint="eastAsia" w:eastAsia="仿宋_GB2312"/>
          <w:sz w:val="32"/>
          <w:szCs w:val="32"/>
        </w:rPr>
        <w:t>内涵、布局、</w:t>
      </w:r>
      <w:r>
        <w:rPr>
          <w:rFonts w:eastAsia="仿宋_GB2312"/>
          <w:sz w:val="32"/>
          <w:szCs w:val="32"/>
        </w:rPr>
        <w:t>重点任务</w:t>
      </w:r>
      <w:r>
        <w:rPr>
          <w:rFonts w:hint="eastAsia" w:eastAsia="仿宋_GB2312"/>
          <w:sz w:val="32"/>
          <w:szCs w:val="32"/>
        </w:rPr>
        <w:t>、重大工程</w:t>
      </w:r>
      <w:r>
        <w:rPr>
          <w:rFonts w:eastAsia="仿宋_GB2312"/>
          <w:sz w:val="32"/>
          <w:szCs w:val="32"/>
        </w:rPr>
        <w:t>和保障措施，对推动</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高质量发展具有重要的现实意义</w:t>
      </w:r>
      <w:r>
        <w:rPr>
          <w:rFonts w:hint="eastAsia" w:eastAsia="仿宋_GB2312"/>
          <w:sz w:val="32"/>
          <w:szCs w:val="32"/>
        </w:rPr>
        <w:t>。</w:t>
      </w:r>
    </w:p>
    <w:p>
      <w:pPr>
        <w:spacing w:line="720" w:lineRule="exact"/>
        <w:ind w:firstLine="640" w:firstLineChars="200"/>
        <w:rPr>
          <w:rFonts w:eastAsia="仿宋_GB2312"/>
          <w:sz w:val="32"/>
        </w:rPr>
      </w:pPr>
      <w:r>
        <w:rPr>
          <w:rFonts w:eastAsia="仿宋_GB2312"/>
          <w:sz w:val="32"/>
          <w:szCs w:val="32"/>
        </w:rPr>
        <w:t>《</w:t>
      </w:r>
      <w:r>
        <w:rPr>
          <w:rFonts w:hint="eastAsia" w:eastAsia="仿宋_GB2312"/>
          <w:sz w:val="32"/>
          <w:szCs w:val="32"/>
        </w:rPr>
        <w:t>聊城</w:t>
      </w:r>
      <w:r>
        <w:rPr>
          <w:rFonts w:eastAsia="仿宋_GB2312"/>
          <w:sz w:val="32"/>
          <w:szCs w:val="32"/>
        </w:rPr>
        <w:t>市</w:t>
      </w:r>
      <w:r>
        <w:rPr>
          <w:rFonts w:hint="eastAsia" w:eastAsia="仿宋_GB2312"/>
          <w:sz w:val="32"/>
          <w:szCs w:val="32"/>
        </w:rPr>
        <w:t>“</w:t>
      </w:r>
      <w:r>
        <w:rPr>
          <w:rFonts w:eastAsia="仿宋_GB2312"/>
          <w:sz w:val="32"/>
          <w:szCs w:val="32"/>
        </w:rPr>
        <w:t>十四五</w:t>
      </w:r>
      <w:r>
        <w:rPr>
          <w:rFonts w:hint="eastAsia" w:eastAsia="仿宋_GB2312"/>
          <w:sz w:val="32"/>
          <w:szCs w:val="32"/>
        </w:rPr>
        <w:t>”商务</w:t>
      </w:r>
      <w:r>
        <w:rPr>
          <w:rFonts w:eastAsia="仿宋_GB2312"/>
          <w:sz w:val="32"/>
          <w:szCs w:val="32"/>
        </w:rPr>
        <w:t>发展规划》</w:t>
      </w:r>
      <w:r>
        <w:rPr>
          <w:rFonts w:eastAsia="仿宋_GB2312"/>
          <w:sz w:val="32"/>
        </w:rPr>
        <w:t>根据《山东省</w:t>
      </w:r>
      <w:r>
        <w:rPr>
          <w:rFonts w:hint="eastAsia" w:eastAsia="仿宋_GB2312"/>
          <w:sz w:val="32"/>
        </w:rPr>
        <w:t>“十四五”商务发展</w:t>
      </w:r>
      <w:r>
        <w:rPr>
          <w:rFonts w:eastAsia="仿宋_GB2312"/>
          <w:sz w:val="32"/>
        </w:rPr>
        <w:t>规划》和《</w:t>
      </w:r>
      <w:r>
        <w:rPr>
          <w:rFonts w:hint="eastAsia" w:eastAsia="仿宋_GB2312"/>
          <w:sz w:val="32"/>
        </w:rPr>
        <w:t>聊城</w:t>
      </w:r>
      <w:r>
        <w:rPr>
          <w:rFonts w:eastAsia="仿宋_GB2312"/>
          <w:sz w:val="32"/>
        </w:rPr>
        <w:t>市国民经济和社会发展第十四个五年规划纲要》的总体要求，结合</w:t>
      </w:r>
      <w:r>
        <w:rPr>
          <w:rFonts w:hint="eastAsia" w:eastAsia="仿宋_GB2312"/>
          <w:sz w:val="32"/>
        </w:rPr>
        <w:t>聊城</w:t>
      </w:r>
      <w:r>
        <w:rPr>
          <w:rFonts w:eastAsia="仿宋_GB2312"/>
          <w:sz w:val="32"/>
        </w:rPr>
        <w:t>市</w:t>
      </w:r>
      <w:r>
        <w:rPr>
          <w:rFonts w:hint="eastAsia" w:eastAsia="仿宋_GB2312"/>
          <w:sz w:val="32"/>
        </w:rPr>
        <w:t>商务</w:t>
      </w:r>
      <w:r>
        <w:rPr>
          <w:rFonts w:eastAsia="仿宋_GB2312"/>
          <w:sz w:val="32"/>
        </w:rPr>
        <w:t>发展实际制定而成，</w:t>
      </w:r>
      <w:r>
        <w:rPr>
          <w:rFonts w:eastAsia="仿宋_GB2312"/>
          <w:sz w:val="32"/>
          <w:szCs w:val="32"/>
        </w:rPr>
        <w:t>描绘了未来五年</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发展的宏伟蓝图，是指导未来五年</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高质量发展的战略安排，</w:t>
      </w:r>
      <w:r>
        <w:rPr>
          <w:rFonts w:hint="eastAsia" w:eastAsia="仿宋_GB2312"/>
          <w:color w:val="auto"/>
          <w:sz w:val="32"/>
          <w:szCs w:val="32"/>
          <w:lang w:val="en-US" w:eastAsia="zh-CN"/>
        </w:rPr>
        <w:t>系</w:t>
      </w:r>
      <w:r>
        <w:rPr>
          <w:rFonts w:eastAsia="仿宋_GB2312"/>
          <w:sz w:val="32"/>
          <w:szCs w:val="32"/>
        </w:rPr>
        <w:t>未来五年</w:t>
      </w:r>
      <w:r>
        <w:rPr>
          <w:rFonts w:hint="eastAsia" w:eastAsia="仿宋_GB2312"/>
          <w:sz w:val="32"/>
          <w:szCs w:val="32"/>
        </w:rPr>
        <w:t>聊城</w:t>
      </w:r>
      <w:r>
        <w:rPr>
          <w:rFonts w:eastAsia="仿宋_GB2312"/>
          <w:sz w:val="32"/>
          <w:szCs w:val="32"/>
        </w:rPr>
        <w:t>市</w:t>
      </w:r>
      <w:r>
        <w:rPr>
          <w:rFonts w:hint="eastAsia" w:eastAsia="仿宋_GB2312"/>
          <w:sz w:val="32"/>
          <w:szCs w:val="32"/>
        </w:rPr>
        <w:t>商务事业</w:t>
      </w:r>
      <w:r>
        <w:rPr>
          <w:rFonts w:eastAsia="仿宋_GB2312"/>
          <w:sz w:val="32"/>
          <w:szCs w:val="32"/>
        </w:rPr>
        <w:t>为之共同奋斗的行动纲领。</w:t>
      </w:r>
    </w:p>
    <w:p>
      <w:pPr>
        <w:spacing w:line="720" w:lineRule="exact"/>
        <w:ind w:firstLine="640" w:firstLineChars="200"/>
        <w:rPr>
          <w:rFonts w:ascii="Times New Roman" w:eastAsia="仿宋_GB2312" w:cs="Times New Roman"/>
          <w:sz w:val="32"/>
        </w:rPr>
      </w:pPr>
      <w:r>
        <w:rPr>
          <w:rFonts w:eastAsia="仿宋_GB2312"/>
          <w:sz w:val="32"/>
        </w:rPr>
        <w:t>规划期</w:t>
      </w:r>
      <w:r>
        <w:rPr>
          <w:rFonts w:ascii="Times New Roman" w:eastAsia="仿宋_GB2312" w:cs="Times New Roman"/>
          <w:sz w:val="32"/>
        </w:rPr>
        <w:t>限为</w:t>
      </w:r>
      <w:r>
        <w:rPr>
          <w:rFonts w:ascii="Times New Roman" w:hAnsi="Times New Roman" w:eastAsia="仿宋_GB2312" w:cs="Times New Roman"/>
          <w:sz w:val="32"/>
        </w:rPr>
        <w:t>2021—2025</w:t>
      </w:r>
      <w:r>
        <w:rPr>
          <w:rFonts w:ascii="Times New Roman" w:eastAsia="仿宋_GB2312" w:cs="Times New Roman"/>
          <w:sz w:val="32"/>
        </w:rPr>
        <w:t>年。</w:t>
      </w:r>
    </w:p>
    <w:p>
      <w:pPr>
        <w:spacing w:line="720" w:lineRule="exact"/>
        <w:ind w:firstLine="640" w:firstLineChars="200"/>
        <w:rPr>
          <w:rFonts w:ascii="Times New Roman" w:eastAsia="仿宋_GB2312" w:cs="Times New Roman"/>
          <w:sz w:val="32"/>
        </w:rPr>
        <w:sectPr>
          <w:footerReference r:id="rId4" w:type="default"/>
          <w:pgSz w:w="11906" w:h="16838"/>
          <w:pgMar w:top="1474" w:right="1474" w:bottom="1474" w:left="1474" w:header="851" w:footer="992" w:gutter="0"/>
          <w:pgNumType w:fmt="numberInDash" w:start="1"/>
          <w:cols w:space="720" w:num="1"/>
          <w:docGrid w:type="lines" w:linePitch="312" w:charSpace="0"/>
        </w:sectPr>
      </w:pPr>
    </w:p>
    <w:p>
      <w:pPr>
        <w:spacing w:line="720" w:lineRule="exact"/>
        <w:jc w:val="center"/>
        <w:rPr>
          <w:rFonts w:ascii="Times New Roman" w:eastAsia="仿宋_GB2312" w:cs="Times New Roman"/>
          <w:b/>
          <w:sz w:val="32"/>
        </w:rPr>
      </w:pPr>
      <w:r>
        <w:rPr>
          <w:rFonts w:hint="eastAsia" w:ascii="Times New Roman" w:eastAsia="仿宋_GB2312" w:cs="Times New Roman"/>
          <w:b/>
          <w:sz w:val="32"/>
        </w:rPr>
        <w:t>目 录</w:t>
      </w:r>
    </w:p>
    <w:p>
      <w:pPr>
        <w:pStyle w:val="12"/>
        <w:tabs>
          <w:tab w:val="right" w:leader="dot" w:pos="8948"/>
        </w:tabs>
        <w:spacing w:line="640" w:lineRule="exact"/>
        <w:rPr>
          <w:rFonts w:ascii="Times New Roman" w:hAnsi="Times New Roman" w:eastAsiaTheme="minorEastAsia"/>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TOC \o "1-2" \h \z \u </w:instrText>
      </w:r>
      <w:r>
        <w:rPr>
          <w:rFonts w:ascii="Times New Roman" w:hAnsi="Times New Roman" w:eastAsia="仿宋_GB2312"/>
          <w:sz w:val="30"/>
          <w:szCs w:val="30"/>
        </w:rPr>
        <w:fldChar w:fldCharType="separate"/>
      </w:r>
      <w:r>
        <w:fldChar w:fldCharType="begin"/>
      </w:r>
      <w:r>
        <w:instrText xml:space="preserve"> HYPERLINK \l "_Toc68698314" </w:instrText>
      </w:r>
      <w:r>
        <w:fldChar w:fldCharType="separate"/>
      </w:r>
      <w:r>
        <w:rPr>
          <w:rStyle w:val="17"/>
          <w:rFonts w:ascii="Times New Roman" w:hAnsi="Times New Roman" w:eastAsia="华文中宋"/>
          <w:sz w:val="30"/>
          <w:szCs w:val="30"/>
        </w:rPr>
        <w:t>前 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_Toc68698314 \h </w:instrText>
      </w:r>
      <w:r>
        <w:rPr>
          <w:rFonts w:ascii="Times New Roman" w:hAnsi="Times New Roman"/>
          <w:sz w:val="30"/>
          <w:szCs w:val="30"/>
        </w:rPr>
        <w:fldChar w:fldCharType="separate"/>
      </w:r>
      <w:r>
        <w:rPr>
          <w:rFonts w:ascii="Times New Roman" w:hAnsi="Times New Roman"/>
          <w:sz w:val="30"/>
          <w:szCs w:val="30"/>
        </w:rPr>
        <w:t>- 1 -</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"_Toc68698315" </w:instrText>
      </w:r>
      <w:r>
        <w:fldChar w:fldCharType="separate"/>
      </w:r>
      <w:r>
        <w:rPr>
          <w:rStyle w:val="17"/>
          <w:rFonts w:ascii="Times New Roman" w:hAnsi="Times New Roman" w:eastAsia="华文中宋"/>
          <w:sz w:val="30"/>
          <w:szCs w:val="30"/>
        </w:rPr>
        <w:t>第一章  夯实商务发展新起点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_Toc68698315 \h </w:instrText>
      </w:r>
      <w:r>
        <w:rPr>
          <w:rFonts w:ascii="Times New Roman" w:hAnsi="Times New Roman"/>
          <w:sz w:val="30"/>
          <w:szCs w:val="30"/>
        </w:rPr>
        <w:fldChar w:fldCharType="separate"/>
      </w:r>
      <w:r>
        <w:rPr>
          <w:rFonts w:ascii="Times New Roman" w:hAnsi="Times New Roman"/>
          <w:sz w:val="30"/>
          <w:szCs w:val="30"/>
        </w:rPr>
        <w:t>1</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"_Toc68698316"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主要成就</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_Toc68698316 \h </w:instrText>
      </w:r>
      <w:r>
        <w:rPr>
          <w:rFonts w:ascii="Times New Roman" w:hAnsi="Times New Roman"/>
          <w:sz w:val="30"/>
          <w:szCs w:val="30"/>
        </w:rPr>
        <w:fldChar w:fldCharType="separate"/>
      </w:r>
      <w:r>
        <w:rPr>
          <w:rFonts w:ascii="Times New Roman" w:hAnsi="Times New Roman"/>
          <w:sz w:val="30"/>
          <w:szCs w:val="30"/>
        </w:rPr>
        <w:t>1</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"_Toc68698317"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主要问题</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_Toc68698317 \h </w:instrText>
      </w:r>
      <w:r>
        <w:rPr>
          <w:rFonts w:ascii="Times New Roman" w:hAnsi="Times New Roman"/>
          <w:sz w:val="30"/>
          <w:szCs w:val="30"/>
        </w:rPr>
        <w:fldChar w:fldCharType="separate"/>
      </w:r>
      <w:r>
        <w:rPr>
          <w:rFonts w:ascii="Times New Roman" w:hAnsi="Times New Roman"/>
          <w:sz w:val="30"/>
          <w:szCs w:val="30"/>
        </w:rPr>
        <w:t>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"_Toc68698318"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机遇挑战</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_Toc68698318 \h </w:instrText>
      </w:r>
      <w:r>
        <w:rPr>
          <w:rFonts w:ascii="Times New Roman" w:hAnsi="Times New Roman"/>
          <w:sz w:val="30"/>
          <w:szCs w:val="30"/>
        </w:rPr>
        <w:fldChar w:fldCharType="separate"/>
      </w:r>
      <w:r>
        <w:rPr>
          <w:rFonts w:ascii="Times New Roman" w:hAnsi="Times New Roman"/>
          <w:sz w:val="30"/>
          <w:szCs w:val="30"/>
        </w:rPr>
        <w:t>5</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"_Toc68698319" </w:instrText>
      </w:r>
      <w:r>
        <w:fldChar w:fldCharType="separate"/>
      </w:r>
      <w:r>
        <w:rPr>
          <w:rStyle w:val="17"/>
          <w:rFonts w:ascii="Times New Roman" w:hAnsi="Times New Roman" w:eastAsia="华文中宋"/>
          <w:sz w:val="30"/>
          <w:szCs w:val="30"/>
        </w:rPr>
        <w:t>第二章  扩宽商务发展新内涵</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_Toc68698319 \h </w:instrText>
      </w:r>
      <w:r>
        <w:rPr>
          <w:rFonts w:ascii="Times New Roman" w:hAnsi="Times New Roman"/>
          <w:sz w:val="30"/>
          <w:szCs w:val="30"/>
        </w:rPr>
        <w:fldChar w:fldCharType="separate"/>
      </w:r>
      <w:r>
        <w:rPr>
          <w:rFonts w:ascii="Times New Roman" w:hAnsi="Times New Roman"/>
          <w:sz w:val="30"/>
          <w:szCs w:val="30"/>
        </w:rPr>
        <w:t>9</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"_Toc68698320"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指导思想</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_Toc68698320 \h </w:instrText>
      </w:r>
      <w:r>
        <w:rPr>
          <w:rFonts w:ascii="Times New Roman" w:hAnsi="Times New Roman"/>
          <w:sz w:val="30"/>
          <w:szCs w:val="30"/>
        </w:rPr>
        <w:fldChar w:fldCharType="separate"/>
      </w:r>
      <w:r>
        <w:rPr>
          <w:rFonts w:ascii="Times New Roman" w:hAnsi="Times New Roman"/>
          <w:sz w:val="30"/>
          <w:szCs w:val="30"/>
        </w:rPr>
        <w:t>9</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"_Toc68698321"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规划原则</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_Toc68698321 \h </w:instrText>
      </w:r>
      <w:r>
        <w:rPr>
          <w:rFonts w:ascii="Times New Roman" w:hAnsi="Times New Roman"/>
          <w:sz w:val="30"/>
          <w:szCs w:val="30"/>
        </w:rPr>
        <w:fldChar w:fldCharType="separate"/>
      </w:r>
      <w:r>
        <w:rPr>
          <w:rFonts w:ascii="Times New Roman" w:hAnsi="Times New Roman"/>
          <w:sz w:val="30"/>
          <w:szCs w:val="30"/>
        </w:rPr>
        <w:t>9</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"_Toc68698322"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发展目标</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_Toc68698322 \h </w:instrText>
      </w:r>
      <w:r>
        <w:rPr>
          <w:rFonts w:ascii="Times New Roman" w:hAnsi="Times New Roman"/>
          <w:sz w:val="30"/>
          <w:szCs w:val="30"/>
        </w:rPr>
        <w:fldChar w:fldCharType="separate"/>
      </w:r>
      <w:r>
        <w:rPr>
          <w:rFonts w:ascii="Times New Roman" w:hAnsi="Times New Roman"/>
          <w:sz w:val="30"/>
          <w:szCs w:val="30"/>
        </w:rPr>
        <w:t>11</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"_Toc68698323" </w:instrText>
      </w:r>
      <w:r>
        <w:fldChar w:fldCharType="separate"/>
      </w:r>
      <w:r>
        <w:rPr>
          <w:rStyle w:val="17"/>
          <w:rFonts w:ascii="Times New Roman" w:hAnsi="Times New Roman" w:eastAsia="华文中宋"/>
          <w:sz w:val="30"/>
          <w:szCs w:val="30"/>
        </w:rPr>
        <w:t>第三章  优化商务发展新布局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_Toc68698323 \h </w:instrText>
      </w:r>
      <w:r>
        <w:rPr>
          <w:rFonts w:ascii="Times New Roman" w:hAnsi="Times New Roman"/>
          <w:sz w:val="30"/>
          <w:szCs w:val="30"/>
        </w:rPr>
        <w:fldChar w:fldCharType="separate"/>
      </w:r>
      <w:r>
        <w:rPr>
          <w:rFonts w:ascii="Times New Roman" w:hAnsi="Times New Roman"/>
          <w:sz w:val="30"/>
          <w:szCs w:val="30"/>
        </w:rPr>
        <w:t>14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"_Toc68698324"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空间布局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_Toc68698324 \h </w:instrText>
      </w:r>
      <w:r>
        <w:rPr>
          <w:rFonts w:ascii="Times New Roman" w:hAnsi="Times New Roman"/>
          <w:sz w:val="30"/>
          <w:szCs w:val="30"/>
        </w:rPr>
        <w:fldChar w:fldCharType="separate"/>
      </w:r>
      <w:r>
        <w:rPr>
          <w:rFonts w:ascii="Times New Roman" w:hAnsi="Times New Roman"/>
          <w:sz w:val="30"/>
          <w:szCs w:val="30"/>
        </w:rPr>
        <w:t>14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"_Toc68698325"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商业布局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_Toc68698325 \h </w:instrText>
      </w:r>
      <w:r>
        <w:rPr>
          <w:rFonts w:ascii="Times New Roman" w:hAnsi="Times New Roman"/>
          <w:sz w:val="30"/>
          <w:szCs w:val="30"/>
        </w:rPr>
        <w:fldChar w:fldCharType="separate"/>
      </w:r>
      <w:r>
        <w:rPr>
          <w:rFonts w:ascii="Times New Roman" w:hAnsi="Times New Roman"/>
          <w:sz w:val="30"/>
          <w:szCs w:val="30"/>
        </w:rPr>
        <w:t>15</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"_Toc68698326"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对外开放布局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_Toc68698326 \h </w:instrText>
      </w:r>
      <w:r>
        <w:rPr>
          <w:rFonts w:ascii="Times New Roman" w:hAnsi="Times New Roman"/>
          <w:sz w:val="30"/>
          <w:szCs w:val="30"/>
        </w:rPr>
        <w:fldChar w:fldCharType="separate"/>
      </w:r>
      <w:r>
        <w:rPr>
          <w:rFonts w:ascii="Times New Roman" w:hAnsi="Times New Roman"/>
          <w:sz w:val="30"/>
          <w:szCs w:val="30"/>
        </w:rPr>
        <w:t>16</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"_Toc68698327" </w:instrText>
      </w:r>
      <w:r>
        <w:fldChar w:fldCharType="separate"/>
      </w:r>
      <w:r>
        <w:rPr>
          <w:rStyle w:val="17"/>
          <w:rFonts w:ascii="Times New Roman" w:hAnsi="Times New Roman" w:eastAsia="华文中宋"/>
          <w:sz w:val="30"/>
          <w:szCs w:val="30"/>
        </w:rPr>
        <w:t>第四章  抓牢商务发展重点任务</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_Toc68698327 \h </w:instrText>
      </w:r>
      <w:r>
        <w:rPr>
          <w:rFonts w:ascii="Times New Roman" w:hAnsi="Times New Roman"/>
          <w:sz w:val="30"/>
          <w:szCs w:val="30"/>
        </w:rPr>
        <w:fldChar w:fldCharType="separate"/>
      </w:r>
      <w:r>
        <w:rPr>
          <w:rFonts w:ascii="Times New Roman" w:hAnsi="Times New Roman"/>
          <w:sz w:val="30"/>
          <w:szCs w:val="30"/>
        </w:rPr>
        <w:t>18</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"_Toc68698328"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商贸流通高质量发展</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_Toc68698328 \h </w:instrText>
      </w:r>
      <w:r>
        <w:rPr>
          <w:rFonts w:ascii="Times New Roman" w:hAnsi="Times New Roman"/>
          <w:sz w:val="30"/>
          <w:szCs w:val="30"/>
        </w:rPr>
        <w:fldChar w:fldCharType="separate"/>
      </w:r>
      <w:r>
        <w:rPr>
          <w:rFonts w:ascii="Times New Roman" w:hAnsi="Times New Roman"/>
          <w:sz w:val="30"/>
          <w:szCs w:val="30"/>
        </w:rPr>
        <w:t>18</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"_Toc68698329"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提升消费创新引领能力</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_Toc68698329 \h </w:instrText>
      </w:r>
      <w:r>
        <w:rPr>
          <w:rFonts w:ascii="Times New Roman" w:hAnsi="Times New Roman"/>
          <w:sz w:val="30"/>
          <w:szCs w:val="30"/>
        </w:rPr>
        <w:fldChar w:fldCharType="separate"/>
      </w:r>
      <w:r>
        <w:rPr>
          <w:rFonts w:ascii="Times New Roman" w:hAnsi="Times New Roman"/>
          <w:sz w:val="30"/>
          <w:szCs w:val="30"/>
        </w:rPr>
        <w:t>20</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"_Toc68698330"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加快培育外贸竞争新优势</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_Toc68698330 \h </w:instrText>
      </w:r>
      <w:r>
        <w:rPr>
          <w:rFonts w:ascii="Times New Roman" w:hAnsi="Times New Roman"/>
          <w:sz w:val="30"/>
          <w:szCs w:val="30"/>
        </w:rPr>
        <w:fldChar w:fldCharType="separate"/>
      </w:r>
      <w:r>
        <w:rPr>
          <w:rFonts w:ascii="Times New Roman" w:hAnsi="Times New Roman"/>
          <w:sz w:val="30"/>
          <w:szCs w:val="30"/>
        </w:rPr>
        <w:t>21</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"_Toc68698331" </w:instrText>
      </w:r>
      <w:r>
        <w:fldChar w:fldCharType="separate"/>
      </w:r>
      <w:r>
        <w:rPr>
          <w:rStyle w:val="17"/>
          <w:rFonts w:ascii="Times New Roman" w:hAnsi="楷体" w:eastAsia="楷体"/>
          <w:sz w:val="30"/>
          <w:szCs w:val="30"/>
        </w:rPr>
        <w:t>第四节</w:t>
      </w:r>
      <w:r>
        <w:rPr>
          <w:rStyle w:val="17"/>
          <w:rFonts w:ascii="Times New Roman" w:hAnsi="Times New Roman" w:eastAsia="楷体"/>
          <w:sz w:val="30"/>
          <w:szCs w:val="30"/>
        </w:rPr>
        <w:t xml:space="preserve">  </w:t>
      </w:r>
      <w:r>
        <w:rPr>
          <w:rStyle w:val="17"/>
          <w:rFonts w:ascii="Times New Roman" w:hAnsi="楷体" w:eastAsia="楷体"/>
          <w:sz w:val="30"/>
          <w:szCs w:val="30"/>
        </w:rPr>
        <w:t>推进利用外资提质增效</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_Toc68698331 \h </w:instrText>
      </w:r>
      <w:r>
        <w:rPr>
          <w:rFonts w:ascii="Times New Roman" w:hAnsi="Times New Roman"/>
          <w:sz w:val="30"/>
          <w:szCs w:val="30"/>
        </w:rPr>
        <w:fldChar w:fldCharType="separate"/>
      </w:r>
      <w:r>
        <w:rPr>
          <w:rFonts w:ascii="Times New Roman" w:hAnsi="Times New Roman"/>
          <w:sz w:val="30"/>
          <w:szCs w:val="30"/>
        </w:rPr>
        <w:t>23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"_Toc68698332" </w:instrText>
      </w:r>
      <w:r>
        <w:fldChar w:fldCharType="separate"/>
      </w:r>
      <w:r>
        <w:rPr>
          <w:rStyle w:val="17"/>
          <w:rFonts w:ascii="Times New Roman" w:hAnsi="楷体" w:eastAsia="楷体"/>
          <w:sz w:val="30"/>
          <w:szCs w:val="30"/>
        </w:rPr>
        <w:t>第五节</w:t>
      </w:r>
      <w:r>
        <w:rPr>
          <w:rStyle w:val="17"/>
          <w:rFonts w:ascii="Times New Roman" w:hAnsi="Times New Roman" w:eastAsia="楷体"/>
          <w:sz w:val="30"/>
          <w:szCs w:val="30"/>
        </w:rPr>
        <w:t xml:space="preserve">  </w:t>
      </w:r>
      <w:r>
        <w:rPr>
          <w:rStyle w:val="17"/>
          <w:rFonts w:ascii="Times New Roman" w:hAnsi="楷体" w:eastAsia="楷体"/>
          <w:sz w:val="30"/>
          <w:szCs w:val="30"/>
        </w:rPr>
        <w:t>保持</w:t>
      </w:r>
      <w:r>
        <w:rPr>
          <w:rStyle w:val="17"/>
          <w:rFonts w:ascii="Times New Roman" w:hAnsi="Times New Roman" w:eastAsia="楷体"/>
          <w:sz w:val="30"/>
          <w:szCs w:val="30"/>
        </w:rPr>
        <w:t>“</w:t>
      </w:r>
      <w:r>
        <w:rPr>
          <w:rStyle w:val="17"/>
          <w:rFonts w:ascii="Times New Roman" w:hAnsi="楷体" w:eastAsia="楷体"/>
          <w:sz w:val="30"/>
          <w:szCs w:val="30"/>
        </w:rPr>
        <w:t>走出去</w:t>
      </w:r>
      <w:r>
        <w:rPr>
          <w:rStyle w:val="17"/>
          <w:rFonts w:ascii="Times New Roman" w:hAnsi="Times New Roman" w:eastAsia="楷体"/>
          <w:sz w:val="30"/>
          <w:szCs w:val="30"/>
        </w:rPr>
        <w:t>”</w:t>
      </w:r>
      <w:r>
        <w:rPr>
          <w:rStyle w:val="17"/>
          <w:rFonts w:ascii="Times New Roman" w:hAnsi="楷体" w:eastAsia="楷体"/>
          <w:sz w:val="30"/>
          <w:szCs w:val="30"/>
        </w:rPr>
        <w:t>稳定步伐</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_Toc68698332 \h </w:instrText>
      </w:r>
      <w:r>
        <w:rPr>
          <w:rFonts w:ascii="Times New Roman" w:hAnsi="Times New Roman"/>
          <w:sz w:val="30"/>
          <w:szCs w:val="30"/>
        </w:rPr>
        <w:fldChar w:fldCharType="separate"/>
      </w:r>
      <w:r>
        <w:rPr>
          <w:rFonts w:ascii="Times New Roman" w:hAnsi="Times New Roman"/>
          <w:sz w:val="30"/>
          <w:szCs w:val="30"/>
        </w:rPr>
        <w:t>25</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"_Toc68698333" </w:instrText>
      </w:r>
      <w:r>
        <w:fldChar w:fldCharType="separate"/>
      </w:r>
      <w:r>
        <w:rPr>
          <w:rStyle w:val="17"/>
          <w:rFonts w:ascii="Times New Roman" w:hAnsi="楷体" w:eastAsia="楷体"/>
          <w:sz w:val="30"/>
          <w:szCs w:val="30"/>
        </w:rPr>
        <w:t>第六节</w:t>
      </w:r>
      <w:r>
        <w:rPr>
          <w:rStyle w:val="17"/>
          <w:rFonts w:ascii="Times New Roman" w:hAnsi="Times New Roman" w:eastAsia="楷体"/>
          <w:sz w:val="30"/>
          <w:szCs w:val="30"/>
        </w:rPr>
        <w:t xml:space="preserve">  </w:t>
      </w:r>
      <w:r>
        <w:rPr>
          <w:rStyle w:val="17"/>
          <w:rFonts w:ascii="Times New Roman" w:hAnsi="楷体" w:eastAsia="楷体"/>
          <w:sz w:val="30"/>
          <w:szCs w:val="30"/>
        </w:rPr>
        <w:t>搭建对外开放新平台</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_Toc68698333 \h </w:instrText>
      </w:r>
      <w:r>
        <w:rPr>
          <w:rFonts w:ascii="Times New Roman" w:hAnsi="Times New Roman"/>
          <w:sz w:val="30"/>
          <w:szCs w:val="30"/>
        </w:rPr>
        <w:fldChar w:fldCharType="separate"/>
      </w:r>
      <w:r>
        <w:rPr>
          <w:rFonts w:ascii="Times New Roman" w:hAnsi="Times New Roman"/>
          <w:sz w:val="30"/>
          <w:szCs w:val="30"/>
        </w:rPr>
        <w:t>27</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"_Toc68698334" </w:instrText>
      </w:r>
      <w:r>
        <w:fldChar w:fldCharType="separate"/>
      </w:r>
      <w:r>
        <w:rPr>
          <w:rStyle w:val="17"/>
          <w:rFonts w:ascii="Times New Roman" w:hAnsi="楷体" w:eastAsia="楷体"/>
          <w:sz w:val="30"/>
          <w:szCs w:val="30"/>
        </w:rPr>
        <w:t>第七节</w:t>
      </w:r>
      <w:r>
        <w:rPr>
          <w:rStyle w:val="17"/>
          <w:rFonts w:ascii="Times New Roman" w:hAnsi="Times New Roman" w:eastAsia="楷体"/>
          <w:sz w:val="30"/>
          <w:szCs w:val="30"/>
        </w:rPr>
        <w:t xml:space="preserve">  </w:t>
      </w:r>
      <w:r>
        <w:rPr>
          <w:rStyle w:val="17"/>
          <w:rFonts w:ascii="Times New Roman" w:hAnsi="楷体" w:eastAsia="楷体"/>
          <w:sz w:val="30"/>
          <w:szCs w:val="30"/>
        </w:rPr>
        <w:t>发展壮大服务贸易</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_Toc68698334 \h </w:instrText>
      </w:r>
      <w:r>
        <w:rPr>
          <w:rFonts w:ascii="Times New Roman" w:hAnsi="Times New Roman"/>
          <w:sz w:val="30"/>
          <w:szCs w:val="30"/>
        </w:rPr>
        <w:fldChar w:fldCharType="separate"/>
      </w:r>
      <w:r>
        <w:rPr>
          <w:rFonts w:ascii="Times New Roman" w:hAnsi="Times New Roman"/>
          <w:sz w:val="30"/>
          <w:szCs w:val="30"/>
        </w:rPr>
        <w:t>28</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"_Toc68698335" </w:instrText>
      </w:r>
      <w:r>
        <w:fldChar w:fldCharType="separate"/>
      </w:r>
      <w:r>
        <w:rPr>
          <w:rStyle w:val="17"/>
          <w:rFonts w:ascii="Times New Roman" w:hAnsi="楷体" w:eastAsia="楷体"/>
          <w:sz w:val="30"/>
          <w:szCs w:val="30"/>
        </w:rPr>
        <w:t>第八节</w:t>
      </w:r>
      <w:r>
        <w:rPr>
          <w:rStyle w:val="17"/>
          <w:rFonts w:ascii="Times New Roman" w:hAnsi="Times New Roman" w:eastAsia="楷体"/>
          <w:sz w:val="30"/>
          <w:szCs w:val="30"/>
        </w:rPr>
        <w:t xml:space="preserve">  </w:t>
      </w:r>
      <w:r>
        <w:rPr>
          <w:rStyle w:val="17"/>
          <w:rFonts w:ascii="Times New Roman" w:hAnsi="楷体" w:eastAsia="楷体"/>
          <w:sz w:val="30"/>
          <w:szCs w:val="30"/>
        </w:rPr>
        <w:t>积极发展数字商务</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_Toc68698335 \h </w:instrText>
      </w:r>
      <w:r>
        <w:rPr>
          <w:rFonts w:ascii="Times New Roman" w:hAnsi="Times New Roman"/>
          <w:sz w:val="30"/>
          <w:szCs w:val="30"/>
        </w:rPr>
        <w:fldChar w:fldCharType="separate"/>
      </w:r>
      <w:r>
        <w:rPr>
          <w:rFonts w:ascii="Times New Roman" w:hAnsi="Times New Roman"/>
          <w:sz w:val="30"/>
          <w:szCs w:val="30"/>
        </w:rPr>
        <w:t>29</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"_Toc68698336" </w:instrText>
      </w:r>
      <w:r>
        <w:fldChar w:fldCharType="separate"/>
      </w:r>
      <w:r>
        <w:rPr>
          <w:rStyle w:val="17"/>
          <w:rFonts w:ascii="Times New Roman" w:hAnsi="Times New Roman" w:eastAsia="华文中宋"/>
          <w:sz w:val="30"/>
          <w:szCs w:val="30"/>
        </w:rPr>
        <w:t>第五章  打造商务发展重大工程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_Toc68698336 \h </w:instrText>
      </w:r>
      <w:r>
        <w:rPr>
          <w:rFonts w:ascii="Times New Roman" w:hAnsi="Times New Roman"/>
          <w:sz w:val="30"/>
          <w:szCs w:val="30"/>
        </w:rPr>
        <w:fldChar w:fldCharType="separate"/>
      </w:r>
      <w:r>
        <w:rPr>
          <w:rFonts w:ascii="Times New Roman" w:hAnsi="Times New Roman"/>
          <w:sz w:val="30"/>
          <w:szCs w:val="30"/>
        </w:rPr>
        <w:t>33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"_Toc68698337"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基础设施提升工程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_Toc68698337 \h </w:instrText>
      </w:r>
      <w:r>
        <w:rPr>
          <w:rFonts w:ascii="Times New Roman" w:hAnsi="Times New Roman"/>
          <w:sz w:val="30"/>
          <w:szCs w:val="30"/>
        </w:rPr>
        <w:fldChar w:fldCharType="separate"/>
      </w:r>
      <w:r>
        <w:rPr>
          <w:rFonts w:ascii="Times New Roman" w:hAnsi="Times New Roman"/>
          <w:sz w:val="30"/>
          <w:szCs w:val="30"/>
        </w:rPr>
        <w:t>33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"_Toc68698338"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融合发展引领工程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_Toc68698338 \h </w:instrText>
      </w:r>
      <w:r>
        <w:rPr>
          <w:rFonts w:ascii="Times New Roman" w:hAnsi="Times New Roman"/>
          <w:sz w:val="30"/>
          <w:szCs w:val="30"/>
        </w:rPr>
        <w:fldChar w:fldCharType="separate"/>
      </w:r>
      <w:r>
        <w:rPr>
          <w:rFonts w:ascii="Times New Roman" w:hAnsi="Times New Roman"/>
          <w:sz w:val="30"/>
          <w:szCs w:val="30"/>
        </w:rPr>
        <w:t>34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"_Toc68698339"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知名商街带动工程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_Toc68698339 \h </w:instrText>
      </w:r>
      <w:r>
        <w:rPr>
          <w:rFonts w:ascii="Times New Roman" w:hAnsi="Times New Roman"/>
          <w:sz w:val="30"/>
          <w:szCs w:val="30"/>
        </w:rPr>
        <w:fldChar w:fldCharType="separate"/>
      </w:r>
      <w:r>
        <w:rPr>
          <w:rFonts w:ascii="Times New Roman" w:hAnsi="Times New Roman"/>
          <w:sz w:val="30"/>
          <w:szCs w:val="30"/>
        </w:rPr>
        <w:t>36</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"_Toc68698340" </w:instrText>
      </w:r>
      <w:r>
        <w:fldChar w:fldCharType="separate"/>
      </w:r>
      <w:r>
        <w:rPr>
          <w:rStyle w:val="17"/>
          <w:rFonts w:ascii="Times New Roman" w:hAnsi="楷体" w:eastAsia="楷体"/>
          <w:sz w:val="30"/>
          <w:szCs w:val="30"/>
        </w:rPr>
        <w:t>第四节</w:t>
      </w:r>
      <w:r>
        <w:rPr>
          <w:rStyle w:val="17"/>
          <w:rFonts w:ascii="Times New Roman" w:hAnsi="Times New Roman" w:eastAsia="楷体"/>
          <w:sz w:val="30"/>
          <w:szCs w:val="30"/>
        </w:rPr>
        <w:t xml:space="preserve">  </w:t>
      </w:r>
      <w:r>
        <w:rPr>
          <w:rStyle w:val="17"/>
          <w:rFonts w:ascii="Times New Roman" w:hAnsi="楷体" w:eastAsia="楷体"/>
          <w:sz w:val="30"/>
          <w:szCs w:val="30"/>
        </w:rPr>
        <w:t>对外开放示范工程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_Toc68698340 \h </w:instrText>
      </w:r>
      <w:r>
        <w:rPr>
          <w:rFonts w:ascii="Times New Roman" w:hAnsi="Times New Roman"/>
          <w:sz w:val="30"/>
          <w:szCs w:val="30"/>
        </w:rPr>
        <w:fldChar w:fldCharType="separate"/>
      </w:r>
      <w:r>
        <w:rPr>
          <w:rFonts w:ascii="Times New Roman" w:hAnsi="Times New Roman"/>
          <w:sz w:val="30"/>
          <w:szCs w:val="30"/>
        </w:rPr>
        <w:t>38</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"_Toc68698341" </w:instrText>
      </w:r>
      <w:r>
        <w:fldChar w:fldCharType="separate"/>
      </w:r>
      <w:r>
        <w:rPr>
          <w:rStyle w:val="17"/>
          <w:rFonts w:ascii="Times New Roman" w:hAnsi="Times New Roman" w:eastAsia="华文中宋"/>
          <w:sz w:val="30"/>
          <w:szCs w:val="30"/>
        </w:rPr>
        <w:t>第六章  健全商务发展保障措施</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_Toc68698341 \h </w:instrText>
      </w:r>
      <w:r>
        <w:rPr>
          <w:rFonts w:ascii="Times New Roman" w:hAnsi="Times New Roman"/>
          <w:sz w:val="30"/>
          <w:szCs w:val="30"/>
        </w:rPr>
        <w:fldChar w:fldCharType="separate"/>
      </w:r>
      <w:r>
        <w:rPr>
          <w:rFonts w:ascii="Times New Roman" w:hAnsi="Times New Roman"/>
          <w:sz w:val="30"/>
          <w:szCs w:val="30"/>
        </w:rPr>
        <w:t>42</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"_Toc68698342"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加强组织领导</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_Toc68698342 \h </w:instrText>
      </w:r>
      <w:r>
        <w:rPr>
          <w:rFonts w:ascii="Times New Roman" w:hAnsi="Times New Roman"/>
          <w:sz w:val="30"/>
          <w:szCs w:val="30"/>
        </w:rPr>
        <w:fldChar w:fldCharType="separate"/>
      </w:r>
      <w:r>
        <w:rPr>
          <w:rFonts w:ascii="Times New Roman" w:hAnsi="Times New Roman"/>
          <w:sz w:val="30"/>
          <w:szCs w:val="30"/>
        </w:rPr>
        <w:t>42</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"_Toc68698343"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落实规划衔接</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_Toc68698343 \h </w:instrText>
      </w:r>
      <w:r>
        <w:rPr>
          <w:rFonts w:ascii="Times New Roman" w:hAnsi="Times New Roman"/>
          <w:sz w:val="30"/>
          <w:szCs w:val="30"/>
        </w:rPr>
        <w:fldChar w:fldCharType="separate"/>
      </w:r>
      <w:r>
        <w:rPr>
          <w:rFonts w:ascii="Times New Roman" w:hAnsi="Times New Roman"/>
          <w:sz w:val="30"/>
          <w:szCs w:val="30"/>
        </w:rPr>
        <w:t>42</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"_Toc68698344"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做好项目储备</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_Toc68698344 \h </w:instrText>
      </w:r>
      <w:r>
        <w:rPr>
          <w:rFonts w:ascii="Times New Roman" w:hAnsi="Times New Roman"/>
          <w:sz w:val="30"/>
          <w:szCs w:val="30"/>
        </w:rPr>
        <w:fldChar w:fldCharType="separate"/>
      </w:r>
      <w:r>
        <w:rPr>
          <w:rFonts w:ascii="Times New Roman" w:hAnsi="Times New Roman"/>
          <w:sz w:val="30"/>
          <w:szCs w:val="30"/>
        </w:rPr>
        <w:t>43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"_Toc68698345" </w:instrText>
      </w:r>
      <w:r>
        <w:fldChar w:fldCharType="separate"/>
      </w:r>
      <w:r>
        <w:rPr>
          <w:rStyle w:val="17"/>
          <w:rFonts w:ascii="Times New Roman" w:hAnsi="楷体" w:eastAsia="楷体"/>
          <w:sz w:val="30"/>
          <w:szCs w:val="30"/>
        </w:rPr>
        <w:t>第四节</w:t>
      </w:r>
      <w:r>
        <w:rPr>
          <w:rStyle w:val="17"/>
          <w:rFonts w:ascii="Times New Roman" w:hAnsi="Times New Roman" w:eastAsia="楷体"/>
          <w:sz w:val="30"/>
          <w:szCs w:val="30"/>
        </w:rPr>
        <w:t xml:space="preserve">  </w:t>
      </w:r>
      <w:r>
        <w:rPr>
          <w:rStyle w:val="17"/>
          <w:rFonts w:ascii="Times New Roman" w:hAnsi="楷体" w:eastAsia="楷体"/>
          <w:sz w:val="30"/>
          <w:szCs w:val="30"/>
        </w:rPr>
        <w:t>强化评估考核</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_Toc68698345 \h </w:instrText>
      </w:r>
      <w:r>
        <w:rPr>
          <w:rFonts w:ascii="Times New Roman" w:hAnsi="Times New Roman"/>
          <w:sz w:val="30"/>
          <w:szCs w:val="30"/>
        </w:rPr>
        <w:fldChar w:fldCharType="separate"/>
      </w:r>
      <w:r>
        <w:rPr>
          <w:rFonts w:ascii="Times New Roman" w:hAnsi="Times New Roman"/>
          <w:sz w:val="30"/>
          <w:szCs w:val="30"/>
        </w:rPr>
        <w:t>43</w:t>
      </w:r>
      <w:r>
        <w:rPr>
          <w:rFonts w:ascii="Times New Roman" w:hAnsi="Times New Roman"/>
          <w:sz w:val="30"/>
          <w:szCs w:val="30"/>
        </w:rPr>
        <w:fldChar w:fldCharType="end"/>
      </w:r>
      <w:r>
        <w:rPr>
          <w:rFonts w:ascii="Times New Roman" w:hAnsi="Times New Roman"/>
          <w:sz w:val="30"/>
          <w:szCs w:val="30"/>
        </w:rPr>
        <w:fldChar w:fldCharType="end"/>
      </w:r>
    </w:p>
    <w:p>
      <w:pPr>
        <w:spacing w:line="640" w:lineRule="exact"/>
        <w:ind w:firstLine="600" w:firstLineChars="200"/>
        <w:rPr>
          <w:rFonts w:ascii="Times New Roman" w:eastAsia="仿宋_GB2312" w:cs="Times New Roman"/>
          <w:sz w:val="32"/>
        </w:rPr>
      </w:pPr>
      <w:r>
        <w:rPr>
          <w:rFonts w:ascii="Times New Roman" w:hAnsi="Times New Roman" w:eastAsia="仿宋_GB2312" w:cs="Times New Roman"/>
          <w:sz w:val="30"/>
          <w:szCs w:val="30"/>
        </w:rPr>
        <w:fldChar w:fldCharType="end"/>
      </w:r>
    </w:p>
    <w:p>
      <w:pPr>
        <w:spacing w:line="700" w:lineRule="exact"/>
        <w:ind w:firstLine="640" w:firstLineChars="200"/>
        <w:rPr>
          <w:rFonts w:eastAsia="仿宋_GB2312"/>
          <w:sz w:val="32"/>
        </w:rPr>
        <w:sectPr>
          <w:pgSz w:w="11906" w:h="16838"/>
          <w:pgMar w:top="1474" w:right="1474" w:bottom="1474" w:left="1474" w:header="851" w:footer="992" w:gutter="0"/>
          <w:pgNumType w:fmt="lowerRoman" w:start="1"/>
          <w:cols w:space="720" w:num="1"/>
          <w:docGrid w:type="lines" w:linePitch="312" w:charSpace="0"/>
        </w:sectPr>
      </w:pPr>
    </w:p>
    <w:p>
      <w:pPr>
        <w:spacing w:line="360" w:lineRule="auto"/>
        <w:ind w:firstLine="482" w:firstLineChars="200"/>
        <w:rPr>
          <w:rFonts w:ascii="宋体" w:hAnsi="宋体"/>
          <w:b/>
          <w:color w:val="000000"/>
          <w:kern w:val="0"/>
          <w:sz w:val="24"/>
          <w:szCs w:val="24"/>
        </w:rPr>
      </w:pPr>
    </w:p>
    <w:p>
      <w:pPr>
        <w:pStyle w:val="3"/>
        <w:spacing w:beforeLines="50" w:afterLines="50" w:line="360" w:lineRule="auto"/>
        <w:rPr>
          <w:rFonts w:ascii="Times New Roman" w:hAnsi="Times New Roman" w:eastAsia="华文中宋" w:cs="Times New Roman"/>
          <w:sz w:val="36"/>
          <w:szCs w:val="36"/>
        </w:rPr>
      </w:pPr>
      <w:bookmarkStart w:id="1" w:name="_Toc68698315"/>
      <w:r>
        <w:rPr>
          <w:rFonts w:hint="eastAsia" w:ascii="Times New Roman" w:hAnsi="Times New Roman" w:eastAsia="华文中宋" w:cs="Times New Roman"/>
          <w:sz w:val="36"/>
          <w:szCs w:val="36"/>
        </w:rPr>
        <w:t>第一章  夯实商务发展新起点</w:t>
      </w:r>
      <w:bookmarkEnd w:id="1"/>
    </w:p>
    <w:p>
      <w:pPr>
        <w:spacing w:line="360" w:lineRule="auto"/>
        <w:ind w:firstLine="664" w:firstLineChars="200"/>
        <w:rPr>
          <w:rFonts w:ascii="仿宋_GB2312" w:eastAsia="仿宋_GB2312"/>
          <w:color w:val="auto"/>
          <w:spacing w:val="6"/>
          <w:sz w:val="32"/>
          <w:szCs w:val="32"/>
        </w:rPr>
      </w:pPr>
      <w:r>
        <w:rPr>
          <w:rFonts w:hint="eastAsia" w:ascii="仿宋_GB2312" w:eastAsia="仿宋_GB2312"/>
          <w:spacing w:val="6"/>
          <w:sz w:val="32"/>
          <w:szCs w:val="32"/>
        </w:rPr>
        <w:t>“</w:t>
      </w:r>
      <w:r>
        <w:rPr>
          <w:rFonts w:ascii="仿宋_GB2312" w:eastAsia="仿宋_GB2312"/>
          <w:spacing w:val="6"/>
          <w:sz w:val="32"/>
          <w:szCs w:val="32"/>
        </w:rPr>
        <w:t>十三五</w:t>
      </w:r>
      <w:r>
        <w:rPr>
          <w:rFonts w:hint="eastAsia" w:ascii="仿宋_GB2312" w:eastAsia="仿宋_GB2312"/>
          <w:spacing w:val="6"/>
          <w:sz w:val="32"/>
          <w:szCs w:val="32"/>
        </w:rPr>
        <w:t>”</w:t>
      </w:r>
      <w:r>
        <w:rPr>
          <w:rFonts w:ascii="仿宋_GB2312" w:eastAsia="仿宋_GB2312"/>
          <w:spacing w:val="6"/>
          <w:sz w:val="32"/>
          <w:szCs w:val="32"/>
        </w:rPr>
        <w:t>期间，</w:t>
      </w:r>
      <w:r>
        <w:rPr>
          <w:rFonts w:hint="eastAsia" w:ascii="仿宋_GB2312" w:eastAsia="仿宋_GB2312"/>
          <w:spacing w:val="6"/>
          <w:sz w:val="32"/>
          <w:szCs w:val="32"/>
        </w:rPr>
        <w:t>聊城市商务事业</w:t>
      </w:r>
      <w:r>
        <w:rPr>
          <w:rFonts w:ascii="仿宋_GB2312" w:eastAsia="仿宋_GB2312"/>
          <w:spacing w:val="6"/>
          <w:sz w:val="32"/>
          <w:szCs w:val="32"/>
        </w:rPr>
        <w:t>在市委、市政府的正确领导下，在省</w:t>
      </w:r>
      <w:r>
        <w:rPr>
          <w:rFonts w:hint="eastAsia" w:ascii="仿宋_GB2312" w:eastAsia="仿宋_GB2312"/>
          <w:spacing w:val="6"/>
          <w:sz w:val="32"/>
          <w:szCs w:val="32"/>
        </w:rPr>
        <w:t>商务厅</w:t>
      </w:r>
      <w:r>
        <w:rPr>
          <w:rFonts w:ascii="仿宋_GB2312" w:eastAsia="仿宋_GB2312"/>
          <w:spacing w:val="6"/>
          <w:sz w:val="32"/>
          <w:szCs w:val="32"/>
        </w:rPr>
        <w:t>等省直部门的精心指导下，积极服务</w:t>
      </w:r>
      <w:r>
        <w:rPr>
          <w:rFonts w:hint="eastAsia" w:ascii="仿宋_GB2312" w:eastAsia="仿宋_GB2312"/>
          <w:spacing w:val="6"/>
          <w:sz w:val="32"/>
          <w:szCs w:val="32"/>
        </w:rPr>
        <w:t>聊城</w:t>
      </w:r>
      <w:r>
        <w:rPr>
          <w:rFonts w:ascii="仿宋_GB2312" w:eastAsia="仿宋_GB2312"/>
          <w:spacing w:val="6"/>
          <w:sz w:val="32"/>
          <w:szCs w:val="32"/>
        </w:rPr>
        <w:t>市经济社会发展大局，</w:t>
      </w:r>
      <w:r>
        <w:rPr>
          <w:rFonts w:hint="eastAsia" w:ascii="仿宋_GB2312" w:eastAsia="仿宋_GB2312"/>
          <w:spacing w:val="6"/>
          <w:sz w:val="32"/>
          <w:szCs w:val="32"/>
        </w:rPr>
        <w:t>紧紧围绕“争创一流、走在前列”的目标任务，</w:t>
      </w:r>
      <w:r>
        <w:rPr>
          <w:rFonts w:hint="eastAsia" w:ascii="Times New Roman" w:hAnsi="Times New Roman" w:eastAsia="仿宋_GB2312"/>
          <w:color w:val="auto"/>
          <w:sz w:val="32"/>
          <w:szCs w:val="32"/>
        </w:rPr>
        <w:t>坚决打赢疫情防控阻击战，</w:t>
      </w:r>
      <w:r>
        <w:rPr>
          <w:rFonts w:hint="eastAsia" w:ascii="Times New Roman" w:hAnsi="Times New Roman" w:eastAsia="仿宋_GB2312"/>
          <w:color w:val="auto"/>
          <w:sz w:val="32"/>
          <w:szCs w:val="32"/>
          <w:lang w:val="en-US" w:eastAsia="zh-CN"/>
        </w:rPr>
        <w:t>着力提升商贸流通新水平</w:t>
      </w:r>
      <w:r>
        <w:rPr>
          <w:rFonts w:hint="eastAsia" w:ascii="Times New Roman" w:hAnsi="Times New Roman" w:eastAsia="仿宋_GB2312"/>
          <w:color w:val="auto"/>
          <w:sz w:val="32"/>
          <w:szCs w:val="32"/>
        </w:rPr>
        <w:t>，戮力打造对外开放新高地，</w:t>
      </w:r>
      <w:r>
        <w:rPr>
          <w:rFonts w:hint="eastAsia" w:ascii="仿宋_GB2312" w:eastAsia="仿宋_GB2312"/>
          <w:color w:val="auto"/>
          <w:spacing w:val="6"/>
          <w:sz w:val="32"/>
          <w:szCs w:val="32"/>
        </w:rPr>
        <w:t>积极“引进来”、“走出去”，推动外贸、外资、外经融合发展，</w:t>
      </w:r>
      <w:r>
        <w:rPr>
          <w:rFonts w:hint="eastAsia" w:ascii="Times New Roman" w:hAnsi="Times New Roman" w:eastAsia="仿宋_GB2312"/>
          <w:color w:val="auto"/>
          <w:sz w:val="32"/>
          <w:szCs w:val="32"/>
        </w:rPr>
        <w:t>圆满完成了“十三五”各项任务目标，</w:t>
      </w:r>
      <w:r>
        <w:rPr>
          <w:rFonts w:hint="eastAsia" w:ascii="仿宋_GB2312" w:eastAsia="仿宋_GB2312"/>
          <w:color w:val="auto"/>
          <w:spacing w:val="6"/>
          <w:sz w:val="32"/>
          <w:szCs w:val="32"/>
        </w:rPr>
        <w:t>外向型经济稳中有进，全市商务投资促进工作实现了新突破。</w:t>
      </w:r>
    </w:p>
    <w:p>
      <w:pPr>
        <w:pStyle w:val="4"/>
        <w:spacing w:before="156" w:after="156" w:line="415" w:lineRule="auto"/>
        <w:jc w:val="center"/>
        <w:rPr>
          <w:rFonts w:ascii="楷体" w:hAnsi="楷体" w:eastAsia="楷体"/>
        </w:rPr>
      </w:pPr>
      <w:bookmarkStart w:id="2" w:name="_Toc68698316"/>
      <w:r>
        <w:rPr>
          <w:rFonts w:hint="eastAsia" w:ascii="楷体" w:hAnsi="楷体" w:eastAsia="楷体"/>
        </w:rPr>
        <w:t>第一节  主要成就</w:t>
      </w:r>
      <w:bookmarkEnd w:id="2"/>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1.对外贸易持续转型升级。</w:t>
      </w:r>
      <w:r>
        <w:rPr>
          <w:rFonts w:hint="eastAsia" w:ascii="仿宋_GB2312" w:eastAsia="仿宋_GB2312"/>
          <w:spacing w:val="6"/>
          <w:sz w:val="32"/>
          <w:szCs w:val="32"/>
        </w:rPr>
        <w:t>“十三五”期间，我市外贸进出口保持增长态势，</w:t>
      </w:r>
      <w:r>
        <w:rPr>
          <w:rFonts w:hint="eastAsia" w:ascii="仿宋_GB2312" w:hAnsi="仿宋_GB2312" w:eastAsia="仿宋_GB2312" w:cs="仿宋_GB2312"/>
          <w:b w:val="0"/>
          <w:i w:val="0"/>
          <w:caps w:val="0"/>
          <w:color w:val="auto"/>
          <w:spacing w:val="0"/>
          <w:sz w:val="32"/>
          <w:szCs w:val="32"/>
          <w:shd w:val="clear" w:fill="FFFFFF"/>
          <w:lang w:val="en-US" w:eastAsia="zh-CN"/>
        </w:rPr>
        <w:t>五年来全市进出口总额达2131.5亿元，较</w:t>
      </w:r>
      <w:r>
        <w:rPr>
          <w:rFonts w:hint="eastAsia" w:ascii="仿宋_GB2312" w:hAnsi="仿宋_GB2312" w:eastAsia="仿宋_GB2312" w:cs="仿宋_GB2312"/>
          <w:b w:val="0"/>
          <w:i w:val="0"/>
          <w:caps w:val="0"/>
          <w:color w:val="auto"/>
          <w:spacing w:val="0"/>
          <w:sz w:val="32"/>
          <w:szCs w:val="32"/>
          <w:shd w:val="clear" w:fill="FFFFFF"/>
        </w:rPr>
        <w:t>“十</w:t>
      </w:r>
      <w:r>
        <w:rPr>
          <w:rFonts w:hint="eastAsia" w:ascii="仿宋_GB2312" w:hAnsi="仿宋_GB2312" w:eastAsia="仿宋_GB2312" w:cs="仿宋_GB2312"/>
          <w:b w:val="0"/>
          <w:i w:val="0"/>
          <w:caps w:val="0"/>
          <w:color w:val="auto"/>
          <w:spacing w:val="0"/>
          <w:sz w:val="32"/>
          <w:szCs w:val="32"/>
          <w:shd w:val="clear" w:fill="FFFFFF"/>
          <w:lang w:val="en-US" w:eastAsia="zh-CN"/>
        </w:rPr>
        <w:t>二</w:t>
      </w:r>
      <w:r>
        <w:rPr>
          <w:rFonts w:hint="eastAsia" w:ascii="仿宋_GB2312" w:hAnsi="仿宋_GB2312" w:eastAsia="仿宋_GB2312" w:cs="仿宋_GB2312"/>
          <w:b w:val="0"/>
          <w:i w:val="0"/>
          <w:caps w:val="0"/>
          <w:color w:val="auto"/>
          <w:spacing w:val="0"/>
          <w:sz w:val="32"/>
          <w:szCs w:val="32"/>
          <w:shd w:val="clear" w:fill="FFFFFF"/>
        </w:rPr>
        <w:t>五”时期</w:t>
      </w:r>
      <w:r>
        <w:rPr>
          <w:rFonts w:hint="eastAsia" w:ascii="仿宋_GB2312" w:hAnsi="仿宋_GB2312" w:eastAsia="仿宋_GB2312" w:cs="仿宋_GB2312"/>
          <w:b w:val="0"/>
          <w:i w:val="0"/>
          <w:caps w:val="0"/>
          <w:color w:val="auto"/>
          <w:spacing w:val="0"/>
          <w:sz w:val="32"/>
          <w:szCs w:val="32"/>
          <w:shd w:val="clear" w:fill="FFFFFF"/>
          <w:lang w:val="en-US" w:eastAsia="zh-CN"/>
        </w:rPr>
        <w:t>同比增长20.9%，其中，出口1082.9亿元，同比增长62.5%；进口1048.6亿元，同比持平。全市有进出口实绩企业达900余家，</w:t>
      </w:r>
      <w:r>
        <w:rPr>
          <w:rFonts w:hint="eastAsia" w:ascii="仿宋_GB2312" w:hAnsi="仿宋_GB2312" w:eastAsia="仿宋_GB2312" w:cs="仿宋_GB2312"/>
          <w:b w:val="0"/>
          <w:i w:val="0"/>
          <w:caps w:val="0"/>
          <w:color w:val="auto"/>
          <w:spacing w:val="0"/>
          <w:sz w:val="32"/>
          <w:szCs w:val="32"/>
          <w:shd w:val="clear" w:fill="FFFFFF"/>
        </w:rPr>
        <w:t>高新技术产品</w:t>
      </w:r>
      <w:r>
        <w:rPr>
          <w:rFonts w:hint="eastAsia" w:ascii="仿宋_GB2312" w:hAnsi="仿宋_GB2312" w:eastAsia="仿宋_GB2312" w:cs="仿宋_GB2312"/>
          <w:b w:val="0"/>
          <w:i w:val="0"/>
          <w:caps w:val="0"/>
          <w:color w:val="auto"/>
          <w:spacing w:val="0"/>
          <w:sz w:val="32"/>
          <w:szCs w:val="32"/>
          <w:shd w:val="clear" w:fill="FFFFFF"/>
          <w:lang w:val="en-US" w:eastAsia="zh-CN"/>
        </w:rPr>
        <w:t>和机电产品</w:t>
      </w:r>
      <w:r>
        <w:rPr>
          <w:rFonts w:hint="eastAsia" w:ascii="仿宋_GB2312" w:hAnsi="仿宋_GB2312" w:eastAsia="仿宋_GB2312" w:cs="仿宋_GB2312"/>
          <w:b w:val="0"/>
          <w:i w:val="0"/>
          <w:caps w:val="0"/>
          <w:color w:val="auto"/>
          <w:spacing w:val="0"/>
          <w:sz w:val="32"/>
          <w:szCs w:val="32"/>
          <w:shd w:val="clear" w:fill="FFFFFF"/>
        </w:rPr>
        <w:t>出口比例持续上升，</w:t>
      </w:r>
      <w:r>
        <w:rPr>
          <w:rFonts w:hint="eastAsia" w:ascii="仿宋_GB2312" w:hAnsi="仿宋_GB2312" w:eastAsia="仿宋_GB2312" w:cs="仿宋_GB2312"/>
          <w:b w:val="0"/>
          <w:i w:val="0"/>
          <w:caps w:val="0"/>
          <w:color w:val="auto"/>
          <w:spacing w:val="0"/>
          <w:sz w:val="32"/>
          <w:szCs w:val="32"/>
          <w:shd w:val="clear" w:fill="FFFFFF"/>
          <w:lang w:val="en-US" w:eastAsia="zh-CN"/>
        </w:rPr>
        <w:t>跨境电商发展迅速</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eastAsia="仿宋_GB2312"/>
          <w:spacing w:val="6"/>
          <w:sz w:val="32"/>
          <w:szCs w:val="32"/>
        </w:rPr>
        <w:t>聊城杂技、茌平黑陶、东昌版画、东昌葫芦等特色产业走出去步伐不断加快，服务贸易结构持续优化。聊城市自2011年以来连续被评为“中国外贸百强城市”，临清市被认定为省级外贸转型升级试点县，百佳食品美国海外仓、新腾威南非海外仓被认定为省级外贸新业态。山东山石麦尔乐器有限公司被认定为山东省重点文化产品和服务出口企业，聊城职业技术学院被认定为山东省服务外包人才培训机构。</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2.利用外资质量和水平不断提升。</w:t>
      </w:r>
      <w:r>
        <w:rPr>
          <w:rFonts w:hint="eastAsia" w:ascii="仿宋_GB2312" w:hAnsi="仿宋_GB2312" w:eastAsia="仿宋_GB2312" w:cs="仿宋_GB2312"/>
          <w:bCs/>
          <w:sz w:val="32"/>
          <w:szCs w:val="32"/>
        </w:rPr>
        <w:t>“</w:t>
      </w:r>
      <w:r>
        <w:rPr>
          <w:rFonts w:hint="eastAsia" w:ascii="仿宋_GB2312" w:hAnsi="Calibri" w:eastAsia="仿宋_GB2312" w:cs="Times New Roman"/>
          <w:spacing w:val="6"/>
          <w:sz w:val="32"/>
          <w:szCs w:val="32"/>
        </w:rPr>
        <w:t>十三五</w:t>
      </w:r>
      <w:r>
        <w:rPr>
          <w:rFonts w:hint="eastAsia" w:ascii="仿宋_GB2312" w:eastAsia="仿宋_GB2312"/>
          <w:spacing w:val="6"/>
          <w:sz w:val="32"/>
          <w:szCs w:val="32"/>
        </w:rPr>
        <w:t>”</w:t>
      </w:r>
      <w:r>
        <w:rPr>
          <w:rFonts w:hint="eastAsia" w:ascii="仿宋_GB2312" w:hAnsi="Calibri" w:eastAsia="仿宋_GB2312" w:cs="Times New Roman"/>
          <w:spacing w:val="6"/>
          <w:sz w:val="32"/>
          <w:szCs w:val="32"/>
        </w:rPr>
        <w:t>期间，</w:t>
      </w:r>
      <w:r>
        <w:rPr>
          <w:rFonts w:hint="eastAsia" w:ascii="仿宋_GB2312" w:hAnsi="仿宋_GB2312" w:eastAsia="仿宋_GB2312" w:cs="仿宋_GB2312"/>
          <w:color w:val="auto"/>
          <w:sz w:val="32"/>
          <w:szCs w:val="32"/>
          <w:lang w:val="en-US" w:eastAsia="zh-CN"/>
        </w:rPr>
        <w:t>聊城市实际使用外资5亿美元，新设外商投资企业128家，呈平稳增长趋势。尤其是</w:t>
      </w:r>
      <w:r>
        <w:rPr>
          <w:rFonts w:hint="eastAsia" w:ascii="仿宋_GB2312" w:eastAsia="仿宋_GB2312"/>
          <w:color w:val="auto"/>
          <w:spacing w:val="6"/>
          <w:sz w:val="32"/>
          <w:szCs w:val="32"/>
        </w:rPr>
        <w:t>2020年</w:t>
      </w:r>
      <w:r>
        <w:rPr>
          <w:rFonts w:hint="eastAsia" w:ascii="仿宋_GB2312" w:eastAsia="仿宋_GB2312"/>
          <w:color w:val="auto"/>
          <w:spacing w:val="6"/>
          <w:sz w:val="32"/>
          <w:szCs w:val="32"/>
          <w:lang w:val="en-US" w:eastAsia="zh-CN"/>
        </w:rPr>
        <w:t>实际使用</w:t>
      </w:r>
      <w:r>
        <w:rPr>
          <w:rFonts w:hint="eastAsia" w:ascii="仿宋_GB2312" w:eastAsia="仿宋_GB2312"/>
          <w:color w:val="auto"/>
          <w:spacing w:val="6"/>
          <w:sz w:val="32"/>
          <w:szCs w:val="32"/>
        </w:rPr>
        <w:t>外资到账</w:t>
      </w:r>
      <w:r>
        <w:rPr>
          <w:rFonts w:hint="eastAsia" w:ascii="仿宋_GB2312" w:hAnsi="仿宋_GB2312" w:eastAsia="仿宋_GB2312" w:cs="仿宋_GB2312"/>
          <w:b w:val="0"/>
          <w:bCs w:val="0"/>
          <w:color w:val="auto"/>
          <w:kern w:val="2"/>
          <w:sz w:val="32"/>
          <w:szCs w:val="32"/>
          <w:lang w:val="en-US" w:eastAsia="zh-CN" w:bidi="ar-SA"/>
        </w:rPr>
        <w:t>2.08亿美元，</w:t>
      </w:r>
      <w:r>
        <w:rPr>
          <w:rFonts w:hint="eastAsia" w:ascii="仿宋_GB2312" w:eastAsia="仿宋_GB2312"/>
          <w:color w:val="auto"/>
          <w:sz w:val="32"/>
          <w:szCs w:val="32"/>
          <w:shd w:val="clear" w:color="auto" w:fill="FFFFFF"/>
        </w:rPr>
        <w:t>同比增长</w:t>
      </w:r>
      <w:r>
        <w:rPr>
          <w:rFonts w:hint="eastAsia" w:ascii="仿宋_GB2312" w:eastAsia="仿宋_GB2312"/>
          <w:color w:val="auto"/>
          <w:sz w:val="32"/>
          <w:szCs w:val="32"/>
          <w:shd w:val="clear" w:color="auto" w:fill="FFFFFF"/>
          <w:lang w:val="en-US" w:eastAsia="zh-CN"/>
        </w:rPr>
        <w:t>187.38</w:t>
      </w:r>
      <w:r>
        <w:rPr>
          <w:rFonts w:hint="eastAsia" w:ascii="仿宋_GB2312" w:eastAsia="仿宋_GB2312"/>
          <w:color w:val="auto"/>
          <w:sz w:val="32"/>
          <w:szCs w:val="32"/>
          <w:shd w:val="clear" w:color="auto" w:fill="FFFFFF"/>
        </w:rPr>
        <w:t>%</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eastAsia="仿宋_GB2312"/>
          <w:color w:val="auto"/>
          <w:spacing w:val="6"/>
          <w:sz w:val="32"/>
          <w:szCs w:val="32"/>
        </w:rPr>
        <w:t>创历史新高。</w:t>
      </w:r>
      <w:r>
        <w:rPr>
          <w:rFonts w:hint="eastAsia" w:ascii="仿宋_GB2312" w:eastAsia="仿宋_GB2312"/>
          <w:b w:val="0"/>
          <w:bCs/>
          <w:color w:val="auto"/>
          <w:spacing w:val="6"/>
          <w:sz w:val="32"/>
          <w:szCs w:val="32"/>
          <w:lang w:val="en-US" w:eastAsia="zh-CN"/>
        </w:rPr>
        <w:t>五年来，</w:t>
      </w:r>
      <w:r>
        <w:rPr>
          <w:rFonts w:hint="eastAsia" w:ascii="仿宋_GB2312" w:hAnsi="Calibri" w:eastAsia="仿宋_GB2312" w:cs="Times New Roman"/>
          <w:spacing w:val="6"/>
          <w:sz w:val="32"/>
          <w:szCs w:val="32"/>
        </w:rPr>
        <w:t>我市鼓励农业、基础设施、服务业等领域引进外资</w:t>
      </w:r>
      <w:r>
        <w:rPr>
          <w:rFonts w:hint="eastAsia" w:ascii="仿宋_GB2312" w:eastAsia="仿宋_GB2312"/>
          <w:spacing w:val="6"/>
          <w:sz w:val="32"/>
          <w:szCs w:val="32"/>
        </w:rPr>
        <w:t>，创新采取增资、并购、境外上市等多种方式，积极拓宽利用外资领域和方式。2020年凤祥股份正式在港交所挂牌上市，发行股票3.55亿股，募集资金10.04亿港元。凤祥股份的上市将进一步引导我市探索创新利用外资方式方法，为稳住外资外贸基本盘提供保障。</w:t>
      </w:r>
    </w:p>
    <w:p>
      <w:pPr>
        <w:spacing w:line="360" w:lineRule="auto"/>
        <w:ind w:firstLine="667" w:firstLineChars="200"/>
        <w:rPr>
          <w:rFonts w:hint="eastAsia" w:ascii="仿宋_GB2312" w:eastAsia="仿宋_GB2312"/>
          <w:b w:val="0"/>
          <w:bCs/>
          <w:color w:val="auto"/>
          <w:spacing w:val="6"/>
          <w:sz w:val="32"/>
          <w:szCs w:val="32"/>
          <w:lang w:val="en-US" w:eastAsia="zh-CN"/>
        </w:rPr>
      </w:pPr>
      <w:r>
        <w:rPr>
          <w:rFonts w:hint="eastAsia" w:ascii="仿宋_GB2312" w:eastAsia="仿宋_GB2312"/>
          <w:b/>
          <w:spacing w:val="6"/>
          <w:sz w:val="32"/>
          <w:szCs w:val="32"/>
        </w:rPr>
        <w:t>3.“海外聊城”建设步伐加快。</w:t>
      </w:r>
      <w:r>
        <w:rPr>
          <w:rFonts w:hint="eastAsia" w:ascii="仿宋_GB2312" w:eastAsia="仿宋_GB2312"/>
          <w:b w:val="0"/>
          <w:bCs/>
          <w:color w:val="auto"/>
          <w:spacing w:val="6"/>
          <w:sz w:val="32"/>
          <w:szCs w:val="32"/>
          <w:lang w:val="en-US" w:eastAsia="zh-CN"/>
        </w:rPr>
        <w:t>“十三五”期间，我市大力实施“海外聊城”战略，积极参与“一带一路”建设，鼓励企业在“一带一路”沿线国家开展国际产能合作、资源开发、建立营销网络，鼓励对外承包工程企业参与基础设施互联互通建设，</w:t>
      </w:r>
      <w:r>
        <w:rPr>
          <w:rFonts w:hint="eastAsia" w:ascii="仿宋_GB2312" w:eastAsia="仿宋_GB2312"/>
          <w:b w:val="0"/>
          <w:bCs/>
          <w:color w:val="auto"/>
          <w:spacing w:val="6"/>
          <w:sz w:val="32"/>
          <w:szCs w:val="32"/>
        </w:rPr>
        <w:t>我市</w:t>
      </w:r>
      <w:r>
        <w:rPr>
          <w:rFonts w:hint="eastAsia" w:ascii="仿宋_GB2312" w:eastAsia="仿宋_GB2312"/>
          <w:b w:val="0"/>
          <w:bCs/>
          <w:color w:val="auto"/>
          <w:spacing w:val="6"/>
          <w:sz w:val="32"/>
          <w:szCs w:val="32"/>
          <w:lang w:val="en-US" w:eastAsia="zh-CN"/>
        </w:rPr>
        <w:t>对外投资和经济合作</w:t>
      </w:r>
      <w:r>
        <w:rPr>
          <w:rFonts w:hint="eastAsia" w:ascii="仿宋_GB2312" w:eastAsia="仿宋_GB2312"/>
          <w:b w:val="0"/>
          <w:bCs/>
          <w:color w:val="auto"/>
          <w:spacing w:val="6"/>
          <w:sz w:val="32"/>
          <w:szCs w:val="32"/>
        </w:rPr>
        <w:t>的规模和</w:t>
      </w:r>
      <w:r>
        <w:rPr>
          <w:rFonts w:hint="eastAsia" w:ascii="仿宋_GB2312" w:eastAsia="仿宋_GB2312"/>
          <w:b w:val="0"/>
          <w:bCs/>
          <w:color w:val="auto"/>
          <w:spacing w:val="6"/>
          <w:sz w:val="32"/>
          <w:szCs w:val="32"/>
          <w:lang w:val="en-US" w:eastAsia="zh-CN"/>
        </w:rPr>
        <w:t>水平得到了全面提升。五年来，全市</w:t>
      </w:r>
      <w:r>
        <w:rPr>
          <w:rFonts w:hint="eastAsia" w:ascii="仿宋_GB2312" w:eastAsia="仿宋_GB2312"/>
          <w:b w:val="0"/>
          <w:bCs/>
          <w:color w:val="auto"/>
          <w:spacing w:val="6"/>
          <w:sz w:val="32"/>
          <w:szCs w:val="32"/>
        </w:rPr>
        <w:t>新批境外企业</w:t>
      </w:r>
      <w:r>
        <w:rPr>
          <w:rFonts w:hint="eastAsia" w:ascii="仿宋_GB2312" w:eastAsia="仿宋_GB2312"/>
          <w:b w:val="0"/>
          <w:bCs/>
          <w:color w:val="auto"/>
          <w:spacing w:val="6"/>
          <w:sz w:val="32"/>
          <w:szCs w:val="32"/>
          <w:lang w:val="en-US" w:eastAsia="zh-CN"/>
        </w:rPr>
        <w:t>41</w:t>
      </w:r>
      <w:r>
        <w:rPr>
          <w:rFonts w:hint="eastAsia" w:ascii="仿宋_GB2312" w:eastAsia="仿宋_GB2312"/>
          <w:b w:val="0"/>
          <w:bCs/>
          <w:color w:val="auto"/>
          <w:spacing w:val="6"/>
          <w:sz w:val="32"/>
          <w:szCs w:val="32"/>
        </w:rPr>
        <w:t>家，</w:t>
      </w:r>
      <w:r>
        <w:rPr>
          <w:rFonts w:hint="eastAsia" w:ascii="仿宋_GB2312" w:eastAsia="仿宋_GB2312"/>
          <w:b w:val="0"/>
          <w:bCs/>
          <w:color w:val="auto"/>
          <w:spacing w:val="6"/>
          <w:sz w:val="32"/>
          <w:szCs w:val="32"/>
          <w:lang w:val="en-US" w:eastAsia="zh-CN"/>
        </w:rPr>
        <w:t>对外投资</w:t>
      </w:r>
      <w:r>
        <w:rPr>
          <w:rFonts w:hint="eastAsia" w:ascii="仿宋_GB2312" w:eastAsia="仿宋_GB2312"/>
          <w:b w:val="0"/>
          <w:bCs/>
          <w:color w:val="auto"/>
          <w:spacing w:val="6"/>
          <w:sz w:val="32"/>
          <w:szCs w:val="32"/>
        </w:rPr>
        <w:t>额</w:t>
      </w:r>
      <w:r>
        <w:rPr>
          <w:rFonts w:hint="eastAsia" w:ascii="仿宋_GB2312" w:eastAsia="仿宋_GB2312"/>
          <w:b w:val="0"/>
          <w:bCs/>
          <w:color w:val="auto"/>
          <w:spacing w:val="6"/>
          <w:sz w:val="32"/>
          <w:szCs w:val="32"/>
          <w:lang w:val="en-US" w:eastAsia="zh-CN"/>
        </w:rPr>
        <w:t>6.05亿</w:t>
      </w:r>
      <w:r>
        <w:rPr>
          <w:rFonts w:hint="eastAsia" w:ascii="仿宋_GB2312" w:eastAsia="仿宋_GB2312"/>
          <w:b w:val="0"/>
          <w:bCs/>
          <w:color w:val="auto"/>
          <w:spacing w:val="6"/>
          <w:sz w:val="32"/>
          <w:szCs w:val="32"/>
        </w:rPr>
        <w:t>美元，</w:t>
      </w:r>
      <w:r>
        <w:rPr>
          <w:rFonts w:hint="eastAsia" w:ascii="仿宋_GB2312" w:eastAsia="仿宋_GB2312"/>
          <w:b w:val="0"/>
          <w:bCs/>
          <w:color w:val="auto"/>
          <w:spacing w:val="6"/>
          <w:sz w:val="32"/>
          <w:szCs w:val="32"/>
          <w:lang w:val="en-US" w:eastAsia="zh-CN"/>
        </w:rPr>
        <w:t>同比增长30.9%；完成对外承包工程营业额7759万美元，同比增长211%；外派各类劳务人员（含海员）1183人。</w:t>
      </w:r>
      <w:r>
        <w:rPr>
          <w:rFonts w:hint="eastAsia" w:ascii="仿宋_GB2312" w:hAnsi="仿宋" w:eastAsia="仿宋_GB2312" w:cs="仿宋_GB2312"/>
          <w:bCs/>
          <w:color w:val="auto"/>
          <w:sz w:val="32"/>
          <w:szCs w:val="32"/>
        </w:rPr>
        <w:t>推动中通客车、</w:t>
      </w:r>
      <w:r>
        <w:rPr>
          <w:rFonts w:hint="eastAsia" w:ascii="仿宋_GB2312" w:hAnsi="仿宋" w:eastAsia="仿宋_GB2312" w:cs="仿宋_GB2312"/>
          <w:bCs/>
          <w:color w:val="auto"/>
          <w:sz w:val="32"/>
          <w:szCs w:val="32"/>
          <w:lang w:val="en-US" w:eastAsia="zh-CN"/>
        </w:rPr>
        <w:t>鲁西化工、三和纺织、华泰化工、乖宝集团</w:t>
      </w:r>
      <w:r>
        <w:rPr>
          <w:rFonts w:hint="eastAsia" w:ascii="仿宋_GB2312" w:hAnsi="仿宋" w:eastAsia="仿宋_GB2312" w:cs="仿宋_GB2312"/>
          <w:bCs/>
          <w:color w:val="auto"/>
          <w:sz w:val="32"/>
          <w:szCs w:val="32"/>
        </w:rPr>
        <w:t>等企业在</w:t>
      </w:r>
      <w:r>
        <w:rPr>
          <w:rFonts w:hint="eastAsia" w:ascii="仿宋_GB2312" w:hAnsi="仿宋" w:eastAsia="仿宋_GB2312" w:cs="仿宋_GB2312"/>
          <w:bCs/>
          <w:color w:val="auto"/>
          <w:sz w:val="32"/>
          <w:szCs w:val="32"/>
          <w:lang w:val="en-US" w:eastAsia="zh-CN"/>
        </w:rPr>
        <w:t>东盟、非洲等20多个</w:t>
      </w:r>
      <w:r>
        <w:rPr>
          <w:rFonts w:hint="eastAsia" w:ascii="仿宋_GB2312" w:hAnsi="仿宋" w:eastAsia="仿宋_GB2312" w:cs="仿宋_GB2312"/>
          <w:bCs/>
          <w:color w:val="auto"/>
          <w:sz w:val="32"/>
          <w:szCs w:val="32"/>
        </w:rPr>
        <w:t>国家和地区投资</w:t>
      </w:r>
      <w:r>
        <w:rPr>
          <w:rFonts w:hint="eastAsia" w:ascii="仿宋_GB2312" w:hAnsi="仿宋" w:eastAsia="仿宋_GB2312" w:cs="仿宋_GB2312"/>
          <w:bCs/>
          <w:color w:val="auto"/>
          <w:sz w:val="32"/>
          <w:szCs w:val="32"/>
          <w:lang w:val="en-US" w:eastAsia="zh-CN"/>
        </w:rPr>
        <w:t>开展</w:t>
      </w:r>
      <w:r>
        <w:rPr>
          <w:rFonts w:hint="eastAsia" w:ascii="仿宋_GB2312" w:hAnsi="仿宋" w:eastAsia="仿宋_GB2312" w:cs="仿宋_GB2312"/>
          <w:bCs/>
          <w:color w:val="auto"/>
          <w:sz w:val="32"/>
          <w:szCs w:val="32"/>
        </w:rPr>
        <w:t>国际产能合作</w:t>
      </w:r>
      <w:r>
        <w:rPr>
          <w:rFonts w:hint="eastAsia" w:ascii="仿宋_GB2312" w:hAnsi="仿宋" w:eastAsia="仿宋_GB2312" w:cs="仿宋_GB2312"/>
          <w:bCs/>
          <w:color w:val="auto"/>
          <w:sz w:val="32"/>
          <w:szCs w:val="32"/>
          <w:lang w:val="en-US" w:eastAsia="zh-CN"/>
        </w:rPr>
        <w:t>，年均带动出口额2000多万美元</w:t>
      </w:r>
      <w:r>
        <w:rPr>
          <w:rFonts w:hint="eastAsia" w:ascii="仿宋_GB2312" w:hAnsi="仿宋" w:eastAsia="仿宋_GB2312" w:cs="仿宋_GB2312"/>
          <w:bCs/>
          <w:color w:val="auto"/>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4.商贸流通平稳运行。</w:t>
      </w:r>
      <w:r>
        <w:rPr>
          <w:rFonts w:hint="eastAsia" w:ascii="仿宋_GB2312" w:eastAsia="仿宋_GB2312"/>
          <w:spacing w:val="6"/>
          <w:sz w:val="32"/>
          <w:szCs w:val="32"/>
        </w:rPr>
        <w:t>“十三五”期间，聊城市商贸流通业主动适应和引领经济发展新常态，</w:t>
      </w:r>
      <w:r>
        <w:rPr>
          <w:rFonts w:ascii="仿宋_GB2312" w:eastAsia="仿宋_GB2312"/>
          <w:spacing w:val="6"/>
          <w:sz w:val="32"/>
          <w:szCs w:val="32"/>
        </w:rPr>
        <w:t>强化</w:t>
      </w:r>
      <w:r>
        <w:rPr>
          <w:rFonts w:hint="eastAsia" w:ascii="仿宋_GB2312" w:eastAsia="仿宋_GB2312"/>
          <w:spacing w:val="6"/>
          <w:sz w:val="32"/>
          <w:szCs w:val="32"/>
        </w:rPr>
        <w:t>商贸流通</w:t>
      </w:r>
      <w:r>
        <w:rPr>
          <w:rFonts w:ascii="仿宋_GB2312" w:eastAsia="仿宋_GB2312"/>
          <w:spacing w:val="6"/>
          <w:sz w:val="32"/>
          <w:szCs w:val="32"/>
        </w:rPr>
        <w:t>市场</w:t>
      </w:r>
      <w:r>
        <w:rPr>
          <w:rFonts w:hint="eastAsia" w:ascii="仿宋_GB2312" w:eastAsia="仿宋_GB2312"/>
          <w:spacing w:val="6"/>
          <w:sz w:val="32"/>
          <w:szCs w:val="32"/>
        </w:rPr>
        <w:t>的</w:t>
      </w:r>
      <w:r>
        <w:rPr>
          <w:rFonts w:ascii="仿宋_GB2312" w:eastAsia="仿宋_GB2312"/>
          <w:spacing w:val="6"/>
          <w:sz w:val="32"/>
          <w:szCs w:val="32"/>
        </w:rPr>
        <w:t>引擎</w:t>
      </w:r>
      <w:r>
        <w:rPr>
          <w:rFonts w:hint="eastAsia" w:ascii="仿宋_GB2312" w:eastAsia="仿宋_GB2312"/>
          <w:spacing w:val="6"/>
          <w:sz w:val="32"/>
          <w:szCs w:val="32"/>
        </w:rPr>
        <w:t>作用</w:t>
      </w:r>
      <w:r>
        <w:rPr>
          <w:rFonts w:ascii="仿宋_GB2312" w:eastAsia="仿宋_GB2312"/>
          <w:spacing w:val="6"/>
          <w:sz w:val="32"/>
          <w:szCs w:val="32"/>
        </w:rPr>
        <w:t>，</w:t>
      </w:r>
      <w:r>
        <w:rPr>
          <w:rFonts w:hint="eastAsia" w:ascii="仿宋_GB2312" w:eastAsia="仿宋_GB2312"/>
          <w:spacing w:val="6"/>
          <w:sz w:val="32"/>
          <w:szCs w:val="32"/>
        </w:rPr>
        <w:t>完善商贸服务业功能和设施，提升</w:t>
      </w:r>
      <w:r>
        <w:rPr>
          <w:rFonts w:ascii="仿宋_GB2312" w:eastAsia="仿宋_GB2312"/>
          <w:spacing w:val="6"/>
          <w:sz w:val="32"/>
          <w:szCs w:val="32"/>
        </w:rPr>
        <w:t>商贸流通业水平</w:t>
      </w:r>
      <w:r>
        <w:rPr>
          <w:rFonts w:hint="eastAsia" w:ascii="仿宋_GB2312" w:eastAsia="仿宋_GB2312"/>
          <w:spacing w:val="6"/>
          <w:sz w:val="32"/>
          <w:szCs w:val="32"/>
        </w:rPr>
        <w:t>，激活市场主体活力，积极发展新业态、新模式，大力推进商贸流通企业健康平稳发展，全市社会消费品零售总额稳步增长，电子商务网络零售额快速提升。截至2020年全市社会消费品零售总额达到</w:t>
      </w:r>
      <w:r>
        <w:rPr>
          <w:rFonts w:hint="eastAsia" w:ascii="仿宋_GB2312" w:eastAsia="仿宋_GB2312"/>
          <w:color w:val="auto"/>
          <w:spacing w:val="6"/>
          <w:sz w:val="32"/>
          <w:szCs w:val="32"/>
          <w:lang w:val="en-US" w:eastAsia="zh-CN"/>
        </w:rPr>
        <w:t>801.04</w:t>
      </w:r>
      <w:r>
        <w:rPr>
          <w:rFonts w:hint="eastAsia" w:ascii="仿宋_GB2312" w:eastAsia="仿宋_GB2312"/>
          <w:color w:val="auto"/>
          <w:spacing w:val="6"/>
          <w:sz w:val="32"/>
          <w:szCs w:val="32"/>
        </w:rPr>
        <w:t>亿元，</w:t>
      </w:r>
      <w:r>
        <w:rPr>
          <w:rFonts w:hint="eastAsia" w:ascii="仿宋_GB2312" w:hAnsi="Calibri" w:eastAsia="仿宋_GB2312" w:cs="Times New Roman"/>
          <w:sz w:val="32"/>
          <w:szCs w:val="32"/>
        </w:rPr>
        <w:t>实现网络零售额126.28亿元</w:t>
      </w:r>
      <w:r>
        <w:rPr>
          <w:rFonts w:hint="eastAsia" w:ascii="仿宋_GB2312" w:eastAsia="仿宋_GB2312"/>
          <w:sz w:val="32"/>
          <w:szCs w:val="32"/>
        </w:rPr>
        <w:t>，</w:t>
      </w:r>
      <w:r>
        <w:rPr>
          <w:rFonts w:hint="eastAsia" w:ascii="仿宋_GB2312" w:hAnsi="Calibri" w:eastAsia="仿宋_GB2312" w:cs="Times New Roman"/>
          <w:sz w:val="32"/>
          <w:szCs w:val="32"/>
        </w:rPr>
        <w:t>实现农村网络零售额68.93</w:t>
      </w:r>
      <w:r>
        <w:rPr>
          <w:rFonts w:hint="eastAsia" w:ascii="仿宋_GB2312" w:eastAsia="仿宋_GB2312"/>
          <w:sz w:val="32"/>
          <w:szCs w:val="32"/>
        </w:rPr>
        <w:t>亿元</w:t>
      </w:r>
      <w:r>
        <w:rPr>
          <w:rFonts w:hint="eastAsia" w:ascii="仿宋_GB2312" w:hAnsi="Calibri" w:eastAsia="仿宋_GB2312" w:cs="Times New Roman"/>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5.开发区体制机制改革创新取得新成效。</w:t>
      </w:r>
      <w:r>
        <w:rPr>
          <w:rFonts w:hint="eastAsia" w:ascii="仿宋_GB2312" w:eastAsia="仿宋_GB2312"/>
          <w:spacing w:val="6"/>
          <w:sz w:val="32"/>
          <w:szCs w:val="32"/>
        </w:rPr>
        <w:t>“十三五”期间，聊城市在深化</w:t>
      </w:r>
      <w:r>
        <w:rPr>
          <w:rFonts w:ascii="仿宋_GB2312" w:eastAsia="仿宋_GB2312"/>
          <w:spacing w:val="6"/>
          <w:sz w:val="32"/>
          <w:szCs w:val="32"/>
        </w:rPr>
        <w:t>开发区</w:t>
      </w:r>
      <w:r>
        <w:rPr>
          <w:rFonts w:hint="eastAsia" w:ascii="仿宋_GB2312" w:eastAsia="仿宋_GB2312"/>
          <w:spacing w:val="6"/>
          <w:sz w:val="32"/>
          <w:szCs w:val="32"/>
        </w:rPr>
        <w:t>体制</w:t>
      </w:r>
      <w:r>
        <w:rPr>
          <w:rFonts w:ascii="仿宋_GB2312" w:eastAsia="仿宋_GB2312"/>
          <w:spacing w:val="6"/>
          <w:sz w:val="32"/>
          <w:szCs w:val="32"/>
        </w:rPr>
        <w:t>机制改革和</w:t>
      </w:r>
      <w:r>
        <w:rPr>
          <w:rFonts w:hint="eastAsia" w:ascii="仿宋_GB2312" w:eastAsia="仿宋_GB2312"/>
          <w:spacing w:val="6"/>
          <w:sz w:val="32"/>
          <w:szCs w:val="32"/>
        </w:rPr>
        <w:t>“放管服”改革方面持续发力，先后出台了《关于加快全市经济开发区改革创新发展的实施意见》《关于推动开发区体制机制改革创新促进高质量发展的实施意见》，为全市开发区体制机制改革提供了遵循，开发区体制机制改革创新全面铺开，截至目前已基本完成改革任务。市属开发区代管乡镇压减至2个，10家开发区内设机构由147个压减至65个，压减率56%；管委会人员由改革前1618人缩减为934人，压减率42%；管辖面积由666.13平方公里压减至457.62平方公里，压减率31%，实现了</w:t>
      </w:r>
      <w:r>
        <w:rPr>
          <w:rFonts w:ascii="仿宋_GB2312" w:eastAsia="仿宋_GB2312"/>
          <w:spacing w:val="6"/>
          <w:sz w:val="32"/>
          <w:szCs w:val="32"/>
        </w:rPr>
        <w:t>瘦身强体</w:t>
      </w:r>
      <w:r>
        <w:rPr>
          <w:rFonts w:hint="eastAsia" w:ascii="仿宋_GB2312" w:eastAsia="仿宋_GB2312"/>
          <w:spacing w:val="6"/>
          <w:sz w:val="32"/>
          <w:szCs w:val="32"/>
        </w:rPr>
        <w:t>，</w:t>
      </w:r>
      <w:r>
        <w:rPr>
          <w:rFonts w:ascii="仿宋_GB2312" w:eastAsia="仿宋_GB2312"/>
          <w:spacing w:val="6"/>
          <w:sz w:val="32"/>
          <w:szCs w:val="32"/>
        </w:rPr>
        <w:t>营商环境</w:t>
      </w:r>
      <w:r>
        <w:rPr>
          <w:rFonts w:hint="eastAsia" w:ascii="仿宋_GB2312" w:eastAsia="仿宋_GB2312"/>
          <w:spacing w:val="6"/>
          <w:sz w:val="32"/>
          <w:szCs w:val="32"/>
        </w:rPr>
        <w:t>得到</w:t>
      </w:r>
      <w:r>
        <w:rPr>
          <w:rFonts w:ascii="仿宋_GB2312" w:eastAsia="仿宋_GB2312"/>
          <w:spacing w:val="6"/>
          <w:sz w:val="32"/>
          <w:szCs w:val="32"/>
        </w:rPr>
        <w:t>持续改善</w:t>
      </w:r>
      <w:r>
        <w:rPr>
          <w:rFonts w:hint="eastAsia" w:ascii="仿宋_GB2312" w:eastAsia="仿宋_GB2312"/>
          <w:spacing w:val="6"/>
          <w:sz w:val="32"/>
          <w:szCs w:val="32"/>
        </w:rPr>
        <w:t>。</w:t>
      </w:r>
    </w:p>
    <w:p>
      <w:pPr>
        <w:pStyle w:val="4"/>
        <w:spacing w:before="156" w:after="156" w:line="415" w:lineRule="auto"/>
        <w:jc w:val="center"/>
        <w:rPr>
          <w:rFonts w:ascii="楷体" w:hAnsi="楷体" w:eastAsia="楷体"/>
        </w:rPr>
      </w:pPr>
      <w:bookmarkStart w:id="3" w:name="_Toc68698317"/>
      <w:r>
        <w:rPr>
          <w:rFonts w:hint="eastAsia" w:ascii="楷体" w:hAnsi="楷体" w:eastAsia="楷体"/>
        </w:rPr>
        <w:t>第二节  主要问题</w:t>
      </w:r>
      <w:bookmarkEnd w:id="3"/>
    </w:p>
    <w:p>
      <w:pPr>
        <w:spacing w:line="360" w:lineRule="auto"/>
        <w:ind w:firstLine="664" w:firstLineChars="200"/>
        <w:rPr>
          <w:rFonts w:ascii="仿宋_GB2312" w:eastAsia="仿宋_GB2312"/>
          <w:color w:val="auto"/>
          <w:spacing w:val="6"/>
          <w:sz w:val="32"/>
          <w:szCs w:val="32"/>
        </w:rPr>
      </w:pPr>
      <w:r>
        <w:rPr>
          <w:rFonts w:hint="eastAsia" w:ascii="仿宋_GB2312" w:eastAsia="仿宋_GB2312"/>
          <w:color w:val="auto"/>
          <w:spacing w:val="6"/>
          <w:sz w:val="32"/>
          <w:szCs w:val="32"/>
        </w:rPr>
        <w:t>“十三五”期间，聊城市商务发展</w:t>
      </w:r>
      <w:r>
        <w:rPr>
          <w:rFonts w:hint="eastAsia" w:ascii="仿宋_GB2312" w:eastAsia="仿宋_GB2312"/>
          <w:color w:val="auto"/>
          <w:spacing w:val="6"/>
          <w:sz w:val="32"/>
          <w:szCs w:val="32"/>
          <w:lang w:val="en-US" w:eastAsia="zh-CN"/>
        </w:rPr>
        <w:t>质效取得双提升</w:t>
      </w:r>
      <w:r>
        <w:rPr>
          <w:rFonts w:hint="eastAsia" w:ascii="仿宋_GB2312" w:eastAsia="仿宋_GB2312"/>
          <w:color w:val="auto"/>
          <w:spacing w:val="6"/>
          <w:sz w:val="32"/>
          <w:szCs w:val="32"/>
        </w:rPr>
        <w:t>，但仍存</w:t>
      </w:r>
      <w:bookmarkStart w:id="4" w:name="_Hlk44662758"/>
      <w:r>
        <w:rPr>
          <w:rFonts w:hint="eastAsia" w:ascii="仿宋_GB2312" w:eastAsia="仿宋_GB2312"/>
          <w:color w:val="auto"/>
          <w:spacing w:val="6"/>
          <w:sz w:val="32"/>
          <w:szCs w:val="32"/>
        </w:rPr>
        <w:t>在</w:t>
      </w:r>
      <w:r>
        <w:rPr>
          <w:rFonts w:hint="eastAsia" w:ascii="仿宋_GB2312" w:eastAsia="仿宋_GB2312"/>
          <w:color w:val="auto"/>
          <w:spacing w:val="6"/>
          <w:sz w:val="32"/>
          <w:szCs w:val="32"/>
          <w:lang w:val="en-US" w:eastAsia="zh-CN"/>
        </w:rPr>
        <w:t>着结构水平不优、</w:t>
      </w:r>
      <w:r>
        <w:rPr>
          <w:rFonts w:hint="eastAsia" w:ascii="仿宋_GB2312" w:eastAsia="仿宋_GB2312"/>
          <w:color w:val="auto"/>
          <w:spacing w:val="6"/>
          <w:sz w:val="32"/>
          <w:szCs w:val="32"/>
        </w:rPr>
        <w:t>消费增长</w:t>
      </w:r>
      <w:r>
        <w:rPr>
          <w:rFonts w:hint="eastAsia" w:ascii="仿宋_GB2312" w:eastAsia="仿宋_GB2312"/>
          <w:color w:val="auto"/>
          <w:spacing w:val="6"/>
          <w:sz w:val="32"/>
          <w:szCs w:val="32"/>
          <w:lang w:val="en-US" w:eastAsia="zh-CN"/>
        </w:rPr>
        <w:t>乏力</w:t>
      </w:r>
      <w:r>
        <w:rPr>
          <w:rFonts w:hint="eastAsia" w:ascii="仿宋_GB2312" w:eastAsia="仿宋_GB2312"/>
          <w:color w:val="auto"/>
          <w:spacing w:val="6"/>
          <w:sz w:val="32"/>
          <w:szCs w:val="32"/>
        </w:rPr>
        <w:t>、要素成本攀升、模式创新滞后等一系列突出矛盾和问题。</w:t>
      </w:r>
      <w:bookmarkEnd w:id="4"/>
    </w:p>
    <w:p>
      <w:pPr>
        <w:adjustRightInd w:val="0"/>
        <w:snapToGrid w:val="0"/>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等线" w:eastAsia="仿宋_GB2312" w:cs="Times New Roman"/>
          <w:b/>
          <w:bCs/>
          <w:color w:val="auto"/>
          <w:sz w:val="32"/>
          <w:szCs w:val="32"/>
          <w:lang w:val="en-US" w:eastAsia="zh-CN"/>
        </w:rPr>
        <w:t>1.进出口结构欠合理。</w:t>
      </w:r>
      <w:r>
        <w:rPr>
          <w:rFonts w:hint="eastAsia" w:ascii="仿宋_GB2312" w:hAnsi="仿宋_GB2312" w:eastAsia="仿宋_GB2312" w:cs="仿宋_GB2312"/>
          <w:color w:val="auto"/>
          <w:sz w:val="32"/>
          <w:szCs w:val="32"/>
          <w:lang w:val="en-US" w:eastAsia="zh-CN"/>
        </w:rPr>
        <w:t>从产业看，铜、铝矿石进口占全市进口额超过80%，钢板、化工、棉纺织品出口占全市出口额50%，原材料及产品价格波动容易大幅影响进出口货值。从县（市、区）看，阳谷县一家独大的局面仍未改变，年进出口额占全市进出口总值40%左右。同时，外贸产业结构层次较低，企业品牌意识不强。目前，我市劳动密集型产业仍然是外贸出口的主力，高科技含量产业发展滞后，企业转型难度大，产品竞争力不足。较多企业处于贴牌生产阶段，缺少自主品牌。</w:t>
      </w:r>
    </w:p>
    <w:p>
      <w:pPr>
        <w:spacing w:line="360" w:lineRule="auto"/>
        <w:ind w:firstLine="803" w:firstLineChars="250"/>
        <w:rPr>
          <w:rFonts w:ascii="仿宋_GB2312" w:hAnsi="仿宋_GB2312" w:eastAsia="仿宋_GB2312" w:cs="仿宋_GB2312"/>
          <w:sz w:val="32"/>
          <w:szCs w:val="32"/>
        </w:rPr>
      </w:pPr>
      <w:r>
        <w:rPr>
          <w:rFonts w:hint="eastAsia" w:ascii="仿宋_GB2312" w:hAnsi="等线" w:eastAsia="仿宋_GB2312" w:cs="Times New Roman"/>
          <w:b/>
          <w:bCs/>
          <w:sz w:val="32"/>
          <w:szCs w:val="32"/>
          <w:lang w:val="en-US" w:eastAsia="zh-CN"/>
        </w:rPr>
        <w:t>2</w:t>
      </w:r>
      <w:r>
        <w:rPr>
          <w:rFonts w:hint="eastAsia" w:ascii="仿宋_GB2312" w:hAnsi="等线" w:eastAsia="仿宋_GB2312" w:cs="Times New Roman"/>
          <w:b/>
          <w:bCs/>
          <w:sz w:val="32"/>
          <w:szCs w:val="32"/>
        </w:rPr>
        <w:t>.外资利用</w:t>
      </w:r>
      <w:r>
        <w:rPr>
          <w:rFonts w:hint="eastAsia" w:ascii="仿宋_GB2312" w:hAnsi="等线" w:eastAsia="仿宋_GB2312" w:cs="Times New Roman"/>
          <w:b/>
          <w:bCs/>
          <w:color w:val="auto"/>
          <w:sz w:val="32"/>
          <w:szCs w:val="32"/>
          <w:lang w:val="en-US" w:eastAsia="zh-CN"/>
        </w:rPr>
        <w:t>水平</w:t>
      </w:r>
      <w:r>
        <w:rPr>
          <w:rFonts w:hint="eastAsia" w:ascii="仿宋_GB2312" w:hAnsi="等线" w:eastAsia="仿宋_GB2312" w:cs="Times New Roman"/>
          <w:b/>
          <w:bCs/>
          <w:sz w:val="32"/>
          <w:szCs w:val="32"/>
        </w:rPr>
        <w:t>偏低。</w:t>
      </w:r>
      <w:r>
        <w:rPr>
          <w:rFonts w:hint="eastAsia" w:ascii="仿宋_GB2312" w:hAnsi="仿宋_GB2312" w:eastAsia="仿宋_GB2312" w:cs="仿宋_GB2312"/>
          <w:sz w:val="32"/>
          <w:szCs w:val="32"/>
        </w:rPr>
        <w:t>从产业分布上看，我市的外资主要投向劳动或者资金密集型的纺织、化工、食品、机械等传统</w:t>
      </w:r>
      <w:r>
        <w:rPr>
          <w:rFonts w:hint="eastAsia" w:ascii="仿宋_GB2312" w:hAnsi="仿宋_GB2312" w:eastAsia="仿宋_GB2312" w:cs="仿宋_GB2312"/>
          <w:sz w:val="32"/>
          <w:szCs w:val="32"/>
          <w:lang w:val="en-US" w:eastAsia="zh-CN"/>
        </w:rPr>
        <w:t>领域</w:t>
      </w:r>
      <w:r>
        <w:rPr>
          <w:rFonts w:hint="eastAsia" w:ascii="仿宋_GB2312" w:hAnsi="仿宋_GB2312" w:eastAsia="仿宋_GB2312" w:cs="仿宋_GB2312"/>
          <w:sz w:val="32"/>
          <w:szCs w:val="32"/>
        </w:rPr>
        <w:t>，以粗加工为主，产业链条短，带动力弱，多数</w:t>
      </w:r>
      <w:r>
        <w:rPr>
          <w:rFonts w:hint="eastAsia" w:ascii="仿宋_GB2312" w:hAnsi="仿宋_GB2312" w:eastAsia="仿宋_GB2312" w:cs="仿宋_GB2312"/>
          <w:sz w:val="32"/>
          <w:szCs w:val="32"/>
          <w:lang w:val="en-US" w:eastAsia="zh-CN"/>
        </w:rPr>
        <w:t>外资企业</w:t>
      </w:r>
      <w:r>
        <w:rPr>
          <w:rFonts w:hint="eastAsia" w:ascii="仿宋_GB2312" w:hAnsi="仿宋_GB2312" w:eastAsia="仿宋_GB2312" w:cs="仿宋_GB2312"/>
          <w:sz w:val="32"/>
          <w:szCs w:val="32"/>
        </w:rPr>
        <w:t>无核心竞争力，技术水平不高，抗风险能力不强。缺少辐射能力大、带动作用强、具有行业领军能力的大企业、大项目，未能形成龙头企业和技术优势，缺乏新能源、新材料、节能环保等新兴行业的外商投资企业。</w:t>
      </w:r>
    </w:p>
    <w:p>
      <w:pPr>
        <w:spacing w:line="360" w:lineRule="auto"/>
        <w:ind w:firstLine="803" w:firstLineChars="250"/>
        <w:rPr>
          <w:rFonts w:ascii="仿宋_GB2312" w:hAnsi="宋体" w:eastAsia="仿宋_GB2312" w:cs="Times New Roman"/>
          <w:color w:val="auto"/>
          <w:sz w:val="32"/>
          <w:szCs w:val="32"/>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.“走出去”规模有待提升。</w:t>
      </w:r>
      <w:r>
        <w:rPr>
          <w:rFonts w:hint="eastAsia" w:ascii="仿宋_GB2312" w:hAnsi="宋体" w:eastAsia="仿宋_GB2312" w:cs="Times New Roman"/>
          <w:color w:val="auto"/>
          <w:sz w:val="32"/>
          <w:szCs w:val="32"/>
        </w:rPr>
        <w:t>聊城市出口企业中，真正开展境外投资的企业所占比例很少，大部分进出口企业对境外投资工作了解少，重视程度不够，走出去开展境外投资的意识较差。企业严重缺乏既懂外语、熟知国际惯例又掌握企业业务、擅长国际营销的高素质国际化经营的复合型人才。境外投资合作需要大量的资金投入，在当前的融资环境下，企业尤其是中小企业、民营企业融资比较困难，资金和人才的缺乏仍是制约我市企业“走出去”的最大障碍。</w:t>
      </w:r>
    </w:p>
    <w:p>
      <w:pPr>
        <w:spacing w:line="360" w:lineRule="auto"/>
        <w:ind w:firstLine="803" w:firstLineChars="250"/>
        <w:rPr>
          <w:rFonts w:ascii="仿宋_GB2312" w:eastAsia="仿宋_GB2312"/>
          <w:spacing w:val="6"/>
          <w:sz w:val="32"/>
          <w:szCs w:val="32"/>
        </w:rPr>
      </w:pPr>
      <w:r>
        <w:rPr>
          <w:rFonts w:hint="eastAsia" w:ascii="仿宋_GB2312" w:hAnsi="等线" w:eastAsia="仿宋_GB2312" w:cs="Times New Roman"/>
          <w:b/>
          <w:bCs/>
          <w:sz w:val="32"/>
          <w:szCs w:val="32"/>
          <w:lang w:val="en-US" w:eastAsia="zh-CN"/>
        </w:rPr>
        <w:t>4</w:t>
      </w:r>
      <w:r>
        <w:rPr>
          <w:rFonts w:hint="eastAsia" w:ascii="仿宋_GB2312" w:hAnsi="等线" w:eastAsia="仿宋_GB2312" w:cs="Times New Roman"/>
          <w:b/>
          <w:bCs/>
          <w:sz w:val="32"/>
          <w:szCs w:val="32"/>
        </w:rPr>
        <w:t>.</w:t>
      </w:r>
      <w:bookmarkStart w:id="5" w:name="_Toc42696015"/>
      <w:r>
        <w:rPr>
          <w:rFonts w:hint="eastAsia" w:ascii="仿宋_GB2312" w:hAnsi="等线" w:eastAsia="仿宋_GB2312" w:cs="Times New Roman"/>
          <w:b/>
          <w:bCs/>
          <w:sz w:val="32"/>
          <w:szCs w:val="32"/>
        </w:rPr>
        <w:t>消费需求动能不足。</w:t>
      </w:r>
      <w:r>
        <w:rPr>
          <w:rFonts w:hint="eastAsia" w:ascii="仿宋_GB2312" w:hAnsi="等线" w:eastAsia="仿宋_GB2312" w:cs="Times New Roman"/>
          <w:sz w:val="32"/>
          <w:szCs w:val="32"/>
        </w:rPr>
        <w:t>消费需求不足现象日益凸显，</w:t>
      </w:r>
      <w:r>
        <w:rPr>
          <w:rFonts w:hint="eastAsia" w:ascii="仿宋_GB2312" w:hAnsi="仿宋_GB2312" w:eastAsia="仿宋_GB2312" w:cs="仿宋_GB2312"/>
          <w:sz w:val="32"/>
          <w:szCs w:val="32"/>
        </w:rPr>
        <w:t>社会消费品零售总额增速放缓，</w:t>
      </w:r>
      <w:r>
        <w:rPr>
          <w:rFonts w:hint="eastAsia" w:ascii="仿宋_GB2312" w:hAnsi="等线" w:eastAsia="仿宋_GB2312" w:cs="Times New Roman"/>
          <w:sz w:val="32"/>
          <w:szCs w:val="32"/>
        </w:rPr>
        <w:t>消费对经济增长贡献率</w:t>
      </w:r>
      <w:bookmarkEnd w:id="5"/>
      <w:r>
        <w:rPr>
          <w:rFonts w:hint="eastAsia" w:ascii="仿宋_GB2312" w:hAnsi="等线" w:eastAsia="仿宋_GB2312" w:cs="Times New Roman"/>
          <w:sz w:val="32"/>
          <w:szCs w:val="32"/>
        </w:rPr>
        <w:t>亟待提升。“十三五”时期消费结构没有跟上消费升级趋势的步伐，商品性消费占比过高，社会消</w:t>
      </w:r>
      <w:r>
        <w:rPr>
          <w:rFonts w:hint="eastAsia" w:ascii="仿宋_GB2312" w:eastAsia="仿宋_GB2312"/>
          <w:spacing w:val="6"/>
          <w:sz w:val="32"/>
          <w:szCs w:val="32"/>
        </w:rPr>
        <w:t>费品零售总额增长较为缓慢。巨额社会闲置资本，仍存在进入房地产市场的强烈冲动，潜在的投机性、投资性购房需求较为旺盛。</w:t>
      </w:r>
    </w:p>
    <w:p>
      <w:pPr>
        <w:pStyle w:val="4"/>
        <w:spacing w:before="156" w:after="156" w:line="415" w:lineRule="auto"/>
        <w:jc w:val="center"/>
        <w:rPr>
          <w:rFonts w:ascii="楷体" w:hAnsi="楷体" w:eastAsia="楷体"/>
        </w:rPr>
      </w:pPr>
      <w:bookmarkStart w:id="6" w:name="_Toc68698318"/>
      <w:r>
        <w:rPr>
          <w:rFonts w:hint="eastAsia" w:ascii="楷体" w:hAnsi="楷体" w:eastAsia="楷体"/>
        </w:rPr>
        <w:t>第三节  机遇挑战</w:t>
      </w:r>
      <w:bookmarkEnd w:id="6"/>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未来五年</w:t>
      </w:r>
      <w:r>
        <w:rPr>
          <w:rFonts w:ascii="仿宋_GB2312" w:eastAsia="仿宋_GB2312"/>
          <w:spacing w:val="6"/>
          <w:sz w:val="32"/>
          <w:szCs w:val="32"/>
        </w:rPr>
        <w:t>，</w:t>
      </w:r>
      <w:r>
        <w:rPr>
          <w:rFonts w:hint="eastAsia" w:ascii="仿宋_GB2312" w:eastAsia="仿宋_GB2312"/>
          <w:spacing w:val="6"/>
          <w:sz w:val="32"/>
          <w:szCs w:val="32"/>
        </w:rPr>
        <w:t>聊城市商务事业发展的</w:t>
      </w:r>
      <w:r>
        <w:rPr>
          <w:rFonts w:ascii="仿宋_GB2312" w:eastAsia="仿宋_GB2312"/>
          <w:spacing w:val="6"/>
          <w:sz w:val="32"/>
          <w:szCs w:val="32"/>
        </w:rPr>
        <w:t>外部环境和内部条件</w:t>
      </w:r>
      <w:r>
        <w:rPr>
          <w:rFonts w:hint="eastAsia" w:ascii="仿宋_GB2312" w:eastAsia="仿宋_GB2312"/>
          <w:spacing w:val="6"/>
          <w:sz w:val="32"/>
          <w:szCs w:val="32"/>
        </w:rPr>
        <w:t>将</w:t>
      </w:r>
      <w:r>
        <w:rPr>
          <w:rFonts w:ascii="仿宋_GB2312" w:eastAsia="仿宋_GB2312"/>
          <w:spacing w:val="6"/>
          <w:sz w:val="32"/>
          <w:szCs w:val="32"/>
        </w:rPr>
        <w:t>发生复杂而深刻的变化，总体上处于滚石上山、爬坡过坎的关键阶段，机遇与挑战并存。</w:t>
      </w:r>
    </w:p>
    <w:p>
      <w:pPr>
        <w:spacing w:line="360" w:lineRule="auto"/>
        <w:ind w:firstLine="667" w:firstLineChars="200"/>
        <w:rPr>
          <w:rFonts w:ascii="仿宋_GB2312" w:eastAsia="仿宋_GB2312"/>
          <w:b/>
          <w:spacing w:val="6"/>
          <w:sz w:val="32"/>
          <w:szCs w:val="32"/>
        </w:rPr>
      </w:pPr>
      <w:r>
        <w:rPr>
          <w:rFonts w:hint="eastAsia" w:ascii="仿宋_GB2312" w:eastAsia="仿宋_GB2312"/>
          <w:b/>
          <w:spacing w:val="6"/>
          <w:sz w:val="32"/>
          <w:szCs w:val="32"/>
        </w:rPr>
        <w:t>1.发展机遇</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一是</w:t>
      </w:r>
      <w:r>
        <w:rPr>
          <w:rFonts w:ascii="仿宋_GB2312" w:eastAsia="仿宋_GB2312"/>
          <w:b/>
          <w:spacing w:val="6"/>
          <w:sz w:val="32"/>
          <w:szCs w:val="32"/>
        </w:rPr>
        <w:t>国家</w:t>
      </w:r>
      <w:r>
        <w:rPr>
          <w:rFonts w:hint="eastAsia" w:ascii="仿宋_GB2312" w:eastAsia="仿宋_GB2312"/>
          <w:b/>
          <w:spacing w:val="6"/>
          <w:sz w:val="32"/>
          <w:szCs w:val="32"/>
        </w:rPr>
        <w:t>重大</w:t>
      </w:r>
      <w:r>
        <w:rPr>
          <w:rFonts w:ascii="仿宋_GB2312" w:eastAsia="仿宋_GB2312"/>
          <w:b/>
          <w:spacing w:val="6"/>
          <w:sz w:val="32"/>
          <w:szCs w:val="32"/>
        </w:rPr>
        <w:t>战略叠加机遇</w:t>
      </w:r>
      <w:r>
        <w:rPr>
          <w:rFonts w:hint="eastAsia" w:ascii="仿宋_GB2312" w:eastAsia="仿宋_GB2312"/>
          <w:b/>
          <w:spacing w:val="6"/>
          <w:sz w:val="32"/>
          <w:szCs w:val="32"/>
        </w:rPr>
        <w:t>。</w:t>
      </w:r>
      <w:r>
        <w:rPr>
          <w:rFonts w:hint="eastAsia" w:ascii="仿宋_GB2312" w:eastAsia="仿宋_GB2312"/>
          <w:spacing w:val="6"/>
          <w:sz w:val="32"/>
          <w:szCs w:val="32"/>
        </w:rPr>
        <w:t>聊城市紧抓黄河生态保护与高质量发展等重大战略，深度对接</w:t>
      </w:r>
      <w:r>
        <w:rPr>
          <w:rFonts w:ascii="仿宋_GB2312" w:eastAsia="仿宋_GB2312"/>
          <w:spacing w:val="6"/>
          <w:sz w:val="32"/>
          <w:szCs w:val="32"/>
        </w:rPr>
        <w:t>区域全面经济伙伴关系协定</w:t>
      </w:r>
      <w:r>
        <w:rPr>
          <w:rFonts w:hint="eastAsia" w:ascii="仿宋_GB2312" w:eastAsia="仿宋_GB2312"/>
          <w:spacing w:val="6"/>
          <w:sz w:val="32"/>
          <w:szCs w:val="32"/>
        </w:rPr>
        <w:t>，全面提升国际交流层次和开放合作水平，带动支柱产业走向世界，融入并主导相关产业的全球价值链。依托龙头企业推进绿色国际经济合作，着眼于全球资源配置，采用境外投资、工程承包、技术合作、装备出口等方式，推动绿色制造和绿色服务率先走出去，完善对外交流合作长效机制，为聊城市商务发展带来重大外部机遇。</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二是</w:t>
      </w:r>
      <w:r>
        <w:rPr>
          <w:rFonts w:ascii="仿宋_GB2312" w:eastAsia="仿宋_GB2312"/>
          <w:b/>
          <w:spacing w:val="6"/>
          <w:sz w:val="32"/>
          <w:szCs w:val="32"/>
        </w:rPr>
        <w:t>全球新一代信息技术革命机遇</w:t>
      </w:r>
      <w:r>
        <w:rPr>
          <w:rFonts w:hint="eastAsia" w:ascii="仿宋_GB2312" w:eastAsia="仿宋_GB2312"/>
          <w:b/>
          <w:spacing w:val="6"/>
          <w:sz w:val="32"/>
          <w:szCs w:val="32"/>
        </w:rPr>
        <w:t>。</w:t>
      </w:r>
      <w:r>
        <w:rPr>
          <w:rFonts w:ascii="仿宋_GB2312" w:eastAsia="仿宋_GB2312"/>
          <w:spacing w:val="6"/>
          <w:sz w:val="32"/>
          <w:szCs w:val="32"/>
        </w:rPr>
        <w:t>由数字经济带动的全球新一代信息技术革命已成为如今和今后一段时间最不可逆的产业和经济发展趋势。</w:t>
      </w:r>
      <w:r>
        <w:rPr>
          <w:rFonts w:hint="eastAsia" w:ascii="仿宋_GB2312" w:eastAsia="仿宋_GB2312"/>
          <w:spacing w:val="6"/>
          <w:sz w:val="32"/>
          <w:szCs w:val="32"/>
        </w:rPr>
        <w:t>根据</w:t>
      </w:r>
      <w:r>
        <w:rPr>
          <w:rFonts w:ascii="仿宋_GB2312" w:eastAsia="仿宋_GB2312"/>
          <w:spacing w:val="6"/>
          <w:sz w:val="32"/>
          <w:szCs w:val="32"/>
        </w:rPr>
        <w:t>《世界互联网发展报告2019》及《中国互联网发展报告2019》</w:t>
      </w:r>
      <w:r>
        <w:rPr>
          <w:rFonts w:hint="eastAsia" w:ascii="仿宋_GB2312" w:eastAsia="仿宋_GB2312"/>
          <w:spacing w:val="6"/>
          <w:sz w:val="32"/>
          <w:szCs w:val="32"/>
        </w:rPr>
        <w:t>显示，</w:t>
      </w:r>
      <w:r>
        <w:rPr>
          <w:rFonts w:ascii="仿宋_GB2312" w:eastAsia="仿宋_GB2312"/>
          <w:spacing w:val="6"/>
          <w:sz w:val="32"/>
          <w:szCs w:val="32"/>
        </w:rPr>
        <w:t>2019年中国数字经济规模为31.3</w:t>
      </w:r>
      <w:r>
        <w:rPr>
          <w:rFonts w:hint="eastAsia" w:ascii="仿宋_GB2312" w:eastAsia="仿宋_GB2312"/>
          <w:spacing w:val="6"/>
          <w:sz w:val="32"/>
          <w:szCs w:val="32"/>
        </w:rPr>
        <w:t xml:space="preserve"> </w:t>
      </w:r>
      <w:r>
        <w:rPr>
          <w:rFonts w:ascii="仿宋_GB2312" w:eastAsia="仿宋_GB2312"/>
          <w:spacing w:val="6"/>
          <w:sz w:val="32"/>
          <w:szCs w:val="32"/>
        </w:rPr>
        <w:t>万亿元，占GDP比重达34.8%，预计2020年至2025年，5G将拉动中国数字经济增长15.2</w:t>
      </w:r>
      <w:r>
        <w:rPr>
          <w:rFonts w:hint="eastAsia" w:ascii="仿宋_GB2312" w:eastAsia="仿宋_GB2312"/>
          <w:spacing w:val="6"/>
          <w:sz w:val="32"/>
          <w:szCs w:val="32"/>
        </w:rPr>
        <w:t xml:space="preserve"> </w:t>
      </w:r>
      <w:r>
        <w:rPr>
          <w:rFonts w:ascii="仿宋_GB2312" w:eastAsia="仿宋_GB2312"/>
          <w:spacing w:val="6"/>
          <w:sz w:val="32"/>
          <w:szCs w:val="32"/>
        </w:rPr>
        <w:t>万亿元。</w:t>
      </w:r>
      <w:r>
        <w:rPr>
          <w:rFonts w:hint="eastAsia" w:ascii="仿宋_GB2312" w:eastAsia="仿宋_GB2312"/>
          <w:spacing w:val="6"/>
          <w:sz w:val="32"/>
          <w:szCs w:val="32"/>
        </w:rPr>
        <w:t>聊城市商务发展</w:t>
      </w:r>
      <w:r>
        <w:rPr>
          <w:rFonts w:ascii="仿宋_GB2312" w:eastAsia="仿宋_GB2312"/>
          <w:spacing w:val="6"/>
          <w:sz w:val="32"/>
          <w:szCs w:val="32"/>
        </w:rPr>
        <w:t>紧抓新一代信息技术革命机遇，</w:t>
      </w:r>
      <w:r>
        <w:rPr>
          <w:rFonts w:hint="eastAsia" w:ascii="仿宋_GB2312" w:eastAsia="仿宋_GB2312"/>
          <w:spacing w:val="6"/>
          <w:sz w:val="32"/>
          <w:szCs w:val="32"/>
        </w:rPr>
        <w:t>推动发展</w:t>
      </w:r>
      <w:r>
        <w:rPr>
          <w:rFonts w:ascii="仿宋_GB2312" w:eastAsia="仿宋_GB2312"/>
          <w:spacing w:val="6"/>
          <w:sz w:val="32"/>
          <w:szCs w:val="32"/>
        </w:rPr>
        <w:t>人工智能、区块链、大数据、云计算、5G、新能源</w:t>
      </w:r>
      <w:r>
        <w:rPr>
          <w:rFonts w:hint="eastAsia" w:ascii="仿宋_GB2312" w:eastAsia="仿宋_GB2312"/>
          <w:spacing w:val="6"/>
          <w:sz w:val="32"/>
          <w:szCs w:val="32"/>
        </w:rPr>
        <w:t>、</w:t>
      </w:r>
      <w:r>
        <w:rPr>
          <w:rFonts w:ascii="仿宋_GB2312" w:eastAsia="仿宋_GB2312"/>
          <w:spacing w:val="6"/>
          <w:sz w:val="32"/>
          <w:szCs w:val="32"/>
        </w:rPr>
        <w:t>新材料</w:t>
      </w:r>
      <w:r>
        <w:rPr>
          <w:rFonts w:hint="eastAsia" w:ascii="仿宋_GB2312" w:eastAsia="仿宋_GB2312"/>
          <w:spacing w:val="6"/>
          <w:sz w:val="32"/>
          <w:szCs w:val="32"/>
        </w:rPr>
        <w:t>、</w:t>
      </w:r>
      <w:r>
        <w:rPr>
          <w:rFonts w:ascii="仿宋_GB2312" w:eastAsia="仿宋_GB2312"/>
          <w:spacing w:val="6"/>
          <w:sz w:val="32"/>
          <w:szCs w:val="32"/>
        </w:rPr>
        <w:t>基因生命工程等科技创新</w:t>
      </w:r>
      <w:r>
        <w:rPr>
          <w:rFonts w:hint="eastAsia" w:ascii="仿宋_GB2312" w:eastAsia="仿宋_GB2312"/>
          <w:spacing w:val="6"/>
          <w:sz w:val="32"/>
          <w:szCs w:val="32"/>
        </w:rPr>
        <w:t>，</w:t>
      </w:r>
      <w:r>
        <w:rPr>
          <w:rFonts w:ascii="仿宋_GB2312" w:eastAsia="仿宋_GB2312"/>
          <w:spacing w:val="6"/>
          <w:sz w:val="32"/>
          <w:szCs w:val="32"/>
        </w:rPr>
        <w:t>加速带动</w:t>
      </w:r>
      <w:r>
        <w:rPr>
          <w:rFonts w:hint="eastAsia" w:ascii="仿宋_GB2312" w:eastAsia="仿宋_GB2312"/>
          <w:spacing w:val="6"/>
          <w:sz w:val="32"/>
          <w:szCs w:val="32"/>
        </w:rPr>
        <w:t>商务发展的模式变革和业态</w:t>
      </w:r>
      <w:r>
        <w:rPr>
          <w:rFonts w:ascii="仿宋_GB2312" w:eastAsia="仿宋_GB2312"/>
          <w:spacing w:val="6"/>
          <w:sz w:val="32"/>
          <w:szCs w:val="32"/>
        </w:rPr>
        <w:t>变革。</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三是</w:t>
      </w:r>
      <w:r>
        <w:rPr>
          <w:rFonts w:ascii="仿宋_GB2312" w:eastAsia="仿宋_GB2312"/>
          <w:b/>
          <w:spacing w:val="6"/>
          <w:sz w:val="32"/>
          <w:szCs w:val="32"/>
        </w:rPr>
        <w:t>区域发展</w:t>
      </w:r>
      <w:r>
        <w:rPr>
          <w:rFonts w:hint="eastAsia" w:ascii="仿宋_GB2312" w:eastAsia="仿宋_GB2312"/>
          <w:b/>
          <w:spacing w:val="6"/>
          <w:sz w:val="32"/>
          <w:szCs w:val="32"/>
        </w:rPr>
        <w:t>新</w:t>
      </w:r>
      <w:r>
        <w:rPr>
          <w:rFonts w:ascii="仿宋_GB2312" w:eastAsia="仿宋_GB2312"/>
          <w:b/>
          <w:spacing w:val="6"/>
          <w:sz w:val="32"/>
          <w:szCs w:val="32"/>
        </w:rPr>
        <w:t>格局机遇</w:t>
      </w:r>
      <w:r>
        <w:rPr>
          <w:rFonts w:hint="eastAsia" w:ascii="仿宋_GB2312" w:eastAsia="仿宋_GB2312"/>
          <w:b/>
          <w:spacing w:val="6"/>
          <w:sz w:val="32"/>
          <w:szCs w:val="32"/>
        </w:rPr>
        <w:t>。</w:t>
      </w:r>
      <w:r>
        <w:rPr>
          <w:rFonts w:hint="eastAsia" w:ascii="仿宋_GB2312" w:eastAsia="仿宋_GB2312"/>
          <w:spacing w:val="6"/>
          <w:sz w:val="32"/>
          <w:szCs w:val="32"/>
        </w:rPr>
        <w:t>山东省人民政府发布</w:t>
      </w:r>
      <w:r>
        <w:rPr>
          <w:rFonts w:ascii="仿宋_GB2312" w:eastAsia="仿宋_GB2312"/>
          <w:spacing w:val="6"/>
          <w:sz w:val="32"/>
          <w:szCs w:val="32"/>
        </w:rPr>
        <w:t>《贯彻落实〈中共中央、国务院关于建立更加有效的区域协调发展新机制的意见〉的实施方案》</w:t>
      </w:r>
      <w:r>
        <w:rPr>
          <w:rFonts w:hint="eastAsia" w:ascii="仿宋_GB2312" w:eastAsia="仿宋_GB2312"/>
          <w:spacing w:val="6"/>
          <w:sz w:val="32"/>
          <w:szCs w:val="32"/>
        </w:rPr>
        <w:t>，明确区域协调发展新布局，构建“一群两心三圈”发展新格局。聊城市充分利用这一新布局区域发展战略，全面对接省会城市群经济圈，加强与省会济南的区域协调共进发展，引进全国及省会城市优势要素，促进聊城市商务事业的飞跃发展。</w:t>
      </w:r>
    </w:p>
    <w:p>
      <w:pPr>
        <w:spacing w:line="360" w:lineRule="auto"/>
        <w:ind w:firstLine="667" w:firstLineChars="200"/>
        <w:rPr>
          <w:rFonts w:ascii="Times New Roman" w:hAnsi="Times New Roman" w:eastAsia="仿宋_GB2312"/>
          <w:sz w:val="32"/>
          <w:szCs w:val="32"/>
        </w:rPr>
      </w:pPr>
      <w:r>
        <w:rPr>
          <w:rFonts w:hint="eastAsia" w:ascii="仿宋_GB2312" w:eastAsia="仿宋_GB2312"/>
          <w:b/>
          <w:spacing w:val="6"/>
          <w:sz w:val="32"/>
          <w:szCs w:val="32"/>
        </w:rPr>
        <w:t>四是消费升级带来的内生机遇。</w:t>
      </w:r>
      <w:r>
        <w:rPr>
          <w:rFonts w:ascii="Times New Roman" w:hAnsi="Times New Roman" w:eastAsia="仿宋_GB2312"/>
          <w:sz w:val="32"/>
          <w:szCs w:val="32"/>
        </w:rPr>
        <w:t>随着</w:t>
      </w:r>
      <w:r>
        <w:rPr>
          <w:rFonts w:hint="eastAsia" w:ascii="Times New Roman" w:hAnsi="Times New Roman" w:eastAsia="仿宋_GB2312"/>
          <w:sz w:val="32"/>
          <w:szCs w:val="32"/>
        </w:rPr>
        <w:t>聊城</w:t>
      </w:r>
      <w:r>
        <w:rPr>
          <w:rFonts w:ascii="Times New Roman" w:hAnsi="Times New Roman" w:eastAsia="仿宋_GB2312"/>
          <w:sz w:val="32"/>
          <w:szCs w:val="32"/>
        </w:rPr>
        <w:t>市居民收入水平的</w:t>
      </w:r>
      <w:r>
        <w:rPr>
          <w:rFonts w:hint="eastAsia" w:ascii="Times New Roman" w:hAnsi="Times New Roman" w:eastAsia="仿宋_GB2312"/>
          <w:sz w:val="32"/>
          <w:szCs w:val="32"/>
        </w:rPr>
        <w:t>稳步</w:t>
      </w:r>
      <w:r>
        <w:rPr>
          <w:rFonts w:ascii="Times New Roman" w:hAnsi="Times New Roman" w:eastAsia="仿宋_GB2312"/>
          <w:sz w:val="32"/>
          <w:szCs w:val="32"/>
        </w:rPr>
        <w:t>提升，</w:t>
      </w:r>
      <w:r>
        <w:rPr>
          <w:rFonts w:hint="eastAsia" w:ascii="仿宋_GB2312" w:hAnsi="等线" w:eastAsia="仿宋_GB2312" w:cs="Times New Roman"/>
          <w:sz w:val="32"/>
          <w:szCs w:val="32"/>
        </w:rPr>
        <w:t>消费结构升级步伐加快，消费品质化、特色化、精细化特征日趋明显，尤其是国家加大对汽车、家电等产品消费的支持力度，政策持续加码培育和壮大内需市场。所以，聊城市抢抓培育扩大内需市场和高质量发展机遇，未来内需市场的活力和后劲将持续释放，成为推动聊城市商务发展的内生动力。</w:t>
      </w:r>
    </w:p>
    <w:p>
      <w:pPr>
        <w:spacing w:line="360" w:lineRule="auto"/>
        <w:ind w:firstLine="667" w:firstLineChars="200"/>
        <w:rPr>
          <w:rFonts w:ascii="仿宋_GB2312" w:eastAsia="仿宋_GB2312"/>
          <w:b/>
          <w:spacing w:val="6"/>
          <w:sz w:val="32"/>
          <w:szCs w:val="32"/>
        </w:rPr>
      </w:pPr>
      <w:r>
        <w:rPr>
          <w:rFonts w:hint="eastAsia" w:ascii="仿宋_GB2312" w:eastAsia="仿宋_GB2312"/>
          <w:b/>
          <w:spacing w:val="6"/>
          <w:sz w:val="32"/>
          <w:szCs w:val="32"/>
        </w:rPr>
        <w:t>2.面临挑战</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一是</w:t>
      </w:r>
      <w:r>
        <w:rPr>
          <w:rFonts w:ascii="仿宋_GB2312" w:eastAsia="仿宋_GB2312"/>
          <w:b/>
          <w:spacing w:val="6"/>
          <w:sz w:val="32"/>
          <w:szCs w:val="32"/>
        </w:rPr>
        <w:t>如何应对复杂多变的国际经济环境</w:t>
      </w:r>
      <w:r>
        <w:rPr>
          <w:rFonts w:hint="eastAsia" w:ascii="仿宋_GB2312" w:eastAsia="仿宋_GB2312"/>
          <w:b/>
          <w:spacing w:val="6"/>
          <w:sz w:val="32"/>
          <w:szCs w:val="32"/>
        </w:rPr>
        <w:t>。</w:t>
      </w:r>
      <w:r>
        <w:rPr>
          <w:rFonts w:hint="eastAsia" w:ascii="仿宋_GB2312" w:eastAsia="仿宋_GB2312"/>
          <w:spacing w:val="6"/>
          <w:sz w:val="32"/>
          <w:szCs w:val="32"/>
          <w:lang w:val="en-US" w:eastAsia="zh-CN"/>
        </w:rPr>
        <w:t>当今</w:t>
      </w:r>
      <w:r>
        <w:rPr>
          <w:rFonts w:ascii="仿宋_GB2312" w:eastAsia="仿宋_GB2312"/>
          <w:spacing w:val="6"/>
          <w:sz w:val="32"/>
          <w:szCs w:val="32"/>
        </w:rPr>
        <w:t>国际局势风谲云诡</w:t>
      </w:r>
      <w:r>
        <w:rPr>
          <w:rFonts w:hint="eastAsia" w:ascii="仿宋_GB2312" w:eastAsia="仿宋_GB2312"/>
          <w:spacing w:val="6"/>
          <w:sz w:val="32"/>
          <w:szCs w:val="32"/>
        </w:rPr>
        <w:t>，全球金融市场持续波动和各国创新与增长动力长期疲弱、新冠疫情严重波及世界各地等因素影响，全球</w:t>
      </w:r>
      <w:r>
        <w:rPr>
          <w:rFonts w:hint="eastAsia" w:ascii="仿宋_GB2312" w:eastAsia="仿宋_GB2312"/>
          <w:spacing w:val="6"/>
          <w:sz w:val="32"/>
          <w:szCs w:val="32"/>
          <w:lang w:val="en-US" w:eastAsia="zh-CN"/>
        </w:rPr>
        <w:t>经济</w:t>
      </w:r>
      <w:r>
        <w:rPr>
          <w:rFonts w:hint="eastAsia" w:ascii="仿宋_GB2312" w:eastAsia="仿宋_GB2312"/>
          <w:spacing w:val="6"/>
          <w:sz w:val="32"/>
          <w:szCs w:val="32"/>
        </w:rPr>
        <w:t>发展的不确定性持续加大，</w:t>
      </w:r>
      <w:r>
        <w:rPr>
          <w:rFonts w:hint="eastAsia" w:ascii="仿宋_GB2312" w:eastAsia="仿宋_GB2312"/>
          <w:color w:val="auto"/>
          <w:spacing w:val="6"/>
          <w:sz w:val="32"/>
          <w:szCs w:val="32"/>
        </w:rPr>
        <w:t>呈现出“全球性产能过剩，有效需求不足”的特征，</w:t>
      </w:r>
      <w:r>
        <w:rPr>
          <w:rFonts w:hint="eastAsia" w:ascii="仿宋_GB2312" w:eastAsia="仿宋_GB2312"/>
          <w:spacing w:val="6"/>
          <w:sz w:val="32"/>
          <w:szCs w:val="32"/>
        </w:rPr>
        <w:t>美国、西欧、日本等主要经济体均出现了经济发展停滞甚至衰退的现象。如何应对复杂多变的国际经济环境成为聊城市商务事业实现开放创新发展面临的挑战之一。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二是</w:t>
      </w:r>
      <w:r>
        <w:rPr>
          <w:rFonts w:ascii="仿宋_GB2312" w:eastAsia="仿宋_GB2312"/>
          <w:b/>
          <w:spacing w:val="6"/>
          <w:sz w:val="32"/>
          <w:szCs w:val="32"/>
        </w:rPr>
        <w:t>如何破解</w:t>
      </w:r>
      <w:r>
        <w:rPr>
          <w:rFonts w:hint="eastAsia" w:ascii="仿宋_GB2312" w:eastAsia="仿宋_GB2312"/>
          <w:b/>
          <w:spacing w:val="6"/>
          <w:sz w:val="32"/>
          <w:szCs w:val="32"/>
        </w:rPr>
        <w:t>关键</w:t>
      </w:r>
      <w:r>
        <w:rPr>
          <w:rFonts w:ascii="仿宋_GB2312" w:eastAsia="仿宋_GB2312"/>
          <w:b/>
          <w:spacing w:val="6"/>
          <w:sz w:val="32"/>
          <w:szCs w:val="32"/>
        </w:rPr>
        <w:t>资源要素制约</w:t>
      </w:r>
      <w:r>
        <w:rPr>
          <w:rFonts w:hint="eastAsia" w:ascii="仿宋_GB2312" w:eastAsia="仿宋_GB2312"/>
          <w:b/>
          <w:spacing w:val="6"/>
          <w:sz w:val="32"/>
          <w:szCs w:val="32"/>
        </w:rPr>
        <w:t>。</w:t>
      </w:r>
      <w:r>
        <w:rPr>
          <w:rFonts w:hint="eastAsia" w:ascii="仿宋_GB2312" w:eastAsia="仿宋_GB2312"/>
          <w:spacing w:val="6"/>
          <w:sz w:val="32"/>
          <w:szCs w:val="32"/>
        </w:rPr>
        <w:t>聊城市商务发展的</w:t>
      </w:r>
      <w:r>
        <w:rPr>
          <w:rFonts w:ascii="仿宋_GB2312" w:eastAsia="仿宋_GB2312"/>
          <w:spacing w:val="6"/>
          <w:sz w:val="32"/>
          <w:szCs w:val="32"/>
        </w:rPr>
        <w:t>自主创新能力不强，缺乏基础性、开拓性、颠覆性技术创新，如何进一步完善人才服务，搭建人才服务平台，吸引更多的人才来</w:t>
      </w:r>
      <w:r>
        <w:rPr>
          <w:rFonts w:hint="eastAsia" w:ascii="仿宋_GB2312" w:eastAsia="仿宋_GB2312"/>
          <w:spacing w:val="6"/>
          <w:sz w:val="32"/>
          <w:szCs w:val="32"/>
        </w:rPr>
        <w:t>我市</w:t>
      </w:r>
      <w:r>
        <w:rPr>
          <w:rFonts w:ascii="仿宋_GB2312" w:eastAsia="仿宋_GB2312"/>
          <w:spacing w:val="6"/>
          <w:sz w:val="32"/>
          <w:szCs w:val="32"/>
        </w:rPr>
        <w:t>投资创业、进行技术创新、项目建设是</w:t>
      </w:r>
      <w:r>
        <w:rPr>
          <w:rFonts w:hint="eastAsia" w:ascii="仿宋_GB2312" w:eastAsia="仿宋_GB2312"/>
          <w:spacing w:val="6"/>
          <w:sz w:val="32"/>
          <w:szCs w:val="32"/>
        </w:rPr>
        <w:t>短期内</w:t>
      </w:r>
      <w:r>
        <w:rPr>
          <w:rFonts w:ascii="仿宋_GB2312" w:eastAsia="仿宋_GB2312"/>
          <w:spacing w:val="6"/>
          <w:sz w:val="32"/>
          <w:szCs w:val="32"/>
        </w:rPr>
        <w:t>急需解决的问题。</w:t>
      </w:r>
      <w:r>
        <w:rPr>
          <w:rFonts w:hint="eastAsia" w:ascii="仿宋_GB2312" w:eastAsia="仿宋_GB2312"/>
          <w:spacing w:val="6"/>
          <w:sz w:val="32"/>
          <w:szCs w:val="32"/>
        </w:rPr>
        <w:t>同时土地指标也是制约商务发展的关键因素，如何保障项目土地指标，如何更有效的利用存量土地，如何通过土地政策进行腾笼换鸟促进重大项目建设成为聊城市商务高质量发展面临的挑战之一。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三是</w:t>
      </w:r>
      <w:r>
        <w:rPr>
          <w:rFonts w:ascii="仿宋_GB2312" w:eastAsia="仿宋_GB2312"/>
          <w:b/>
          <w:spacing w:val="6"/>
          <w:sz w:val="32"/>
          <w:szCs w:val="32"/>
        </w:rPr>
        <w:t>如何更好的</w:t>
      </w:r>
      <w:r>
        <w:rPr>
          <w:rFonts w:hint="eastAsia" w:ascii="仿宋_GB2312" w:eastAsia="仿宋_GB2312"/>
          <w:b/>
          <w:spacing w:val="6"/>
          <w:sz w:val="32"/>
          <w:szCs w:val="32"/>
        </w:rPr>
        <w:t>推动业态</w:t>
      </w:r>
      <w:r>
        <w:rPr>
          <w:rFonts w:ascii="仿宋_GB2312" w:eastAsia="仿宋_GB2312"/>
          <w:b/>
          <w:spacing w:val="6"/>
          <w:sz w:val="32"/>
          <w:szCs w:val="32"/>
        </w:rPr>
        <w:t>转型升级</w:t>
      </w:r>
      <w:r>
        <w:rPr>
          <w:rFonts w:hint="eastAsia" w:ascii="仿宋_GB2312" w:eastAsia="仿宋_GB2312"/>
          <w:b/>
          <w:spacing w:val="6"/>
          <w:sz w:val="32"/>
          <w:szCs w:val="32"/>
        </w:rPr>
        <w:t>。</w:t>
      </w:r>
      <w:r>
        <w:rPr>
          <w:rFonts w:hint="eastAsia" w:ascii="仿宋_GB2312" w:eastAsia="仿宋_GB2312"/>
          <w:spacing w:val="6"/>
          <w:sz w:val="32"/>
          <w:szCs w:val="32"/>
        </w:rPr>
        <w:t>聊城市商业业态较为落后，业态档次水平较低，传统小商品零售、服装等业态网点居多，露天摊位等影响街区经营环境的现象仍有发生，部分餐饮企业对环境污染比较严重。因此</w:t>
      </w:r>
      <w:r>
        <w:rPr>
          <w:rFonts w:ascii="仿宋_GB2312" w:eastAsia="仿宋_GB2312"/>
          <w:spacing w:val="6"/>
          <w:sz w:val="32"/>
          <w:szCs w:val="32"/>
        </w:rPr>
        <w:t>如何更好</w:t>
      </w:r>
      <w:r>
        <w:rPr>
          <w:rFonts w:hint="eastAsia" w:ascii="仿宋_GB2312" w:eastAsia="仿宋_GB2312"/>
          <w:spacing w:val="6"/>
          <w:sz w:val="32"/>
          <w:szCs w:val="32"/>
        </w:rPr>
        <w:t>通过实施新旧动能转换推动传统业态的转型升级成为聊城市商务高质量发展面临的挑战之一。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四是</w:t>
      </w:r>
      <w:r>
        <w:rPr>
          <w:rFonts w:ascii="仿宋_GB2312" w:eastAsia="仿宋_GB2312"/>
          <w:b/>
          <w:spacing w:val="6"/>
          <w:sz w:val="32"/>
          <w:szCs w:val="32"/>
        </w:rPr>
        <w:t>如何激发机构机制改革活力</w:t>
      </w:r>
      <w:r>
        <w:rPr>
          <w:rFonts w:hint="eastAsia" w:ascii="仿宋_GB2312" w:eastAsia="仿宋_GB2312"/>
          <w:b/>
          <w:spacing w:val="6"/>
          <w:sz w:val="32"/>
          <w:szCs w:val="32"/>
        </w:rPr>
        <w:t>。</w:t>
      </w:r>
      <w:r>
        <w:rPr>
          <w:rFonts w:hint="eastAsia" w:ascii="仿宋_GB2312" w:eastAsia="仿宋_GB2312"/>
          <w:spacing w:val="6"/>
          <w:sz w:val="32"/>
          <w:szCs w:val="32"/>
        </w:rPr>
        <w:t>目前，聊城市商务发展的运营模式单一，市场化运作机制尚未完全建立，建设水平不能适应招商引资需要；</w:t>
      </w:r>
      <w:r>
        <w:rPr>
          <w:rFonts w:hint="eastAsia" w:ascii="仿宋_GB2312" w:eastAsia="仿宋_GB2312"/>
          <w:spacing w:val="6"/>
          <w:sz w:val="32"/>
          <w:szCs w:val="32"/>
          <w:lang w:val="en-US" w:eastAsia="zh-CN"/>
        </w:rPr>
        <w:t>营商环境</w:t>
      </w:r>
      <w:r>
        <w:rPr>
          <w:rFonts w:hint="eastAsia" w:ascii="仿宋_GB2312" w:eastAsia="仿宋_GB2312"/>
          <w:spacing w:val="6"/>
          <w:sz w:val="32"/>
          <w:szCs w:val="32"/>
        </w:rPr>
        <w:t>与先进地区相比还有</w:t>
      </w:r>
      <w:r>
        <w:rPr>
          <w:rFonts w:hint="eastAsia" w:ascii="仿宋_GB2312" w:eastAsia="仿宋_GB2312"/>
          <w:spacing w:val="6"/>
          <w:sz w:val="32"/>
          <w:szCs w:val="32"/>
          <w:lang w:val="en-US" w:eastAsia="zh-CN"/>
        </w:rPr>
        <w:t>一定</w:t>
      </w:r>
      <w:r>
        <w:rPr>
          <w:rFonts w:hint="eastAsia" w:ascii="仿宋_GB2312" w:eastAsia="仿宋_GB2312"/>
          <w:spacing w:val="6"/>
          <w:sz w:val="32"/>
          <w:szCs w:val="32"/>
        </w:rPr>
        <w:t>差距，</w:t>
      </w:r>
      <w:r>
        <w:rPr>
          <w:rFonts w:hint="eastAsia" w:ascii="仿宋_GB2312" w:eastAsia="仿宋_GB2312"/>
          <w:color w:val="auto"/>
          <w:spacing w:val="6"/>
          <w:sz w:val="32"/>
          <w:szCs w:val="32"/>
          <w:lang w:val="en-US" w:eastAsia="zh-CN"/>
        </w:rPr>
        <w:t>还不适应</w:t>
      </w:r>
      <w:r>
        <w:rPr>
          <w:rFonts w:hint="eastAsia" w:ascii="仿宋_GB2312" w:eastAsia="仿宋_GB2312"/>
          <w:spacing w:val="6"/>
          <w:sz w:val="32"/>
          <w:szCs w:val="32"/>
        </w:rPr>
        <w:t>入驻企业对现代化、精准化的要求。因此如何更好的激发机构机制的</w:t>
      </w:r>
      <w:r>
        <w:rPr>
          <w:rFonts w:ascii="仿宋_GB2312" w:eastAsia="仿宋_GB2312"/>
          <w:spacing w:val="6"/>
          <w:sz w:val="32"/>
          <w:szCs w:val="32"/>
        </w:rPr>
        <w:t>内在活力</w:t>
      </w:r>
      <w:r>
        <w:rPr>
          <w:rFonts w:hint="eastAsia" w:ascii="仿宋_GB2312" w:eastAsia="仿宋_GB2312"/>
          <w:spacing w:val="6"/>
          <w:sz w:val="32"/>
          <w:szCs w:val="32"/>
        </w:rPr>
        <w:t>成为推动聊城市商务发展的挑战之一</w:t>
      </w:r>
      <w:r>
        <w:rPr>
          <w:rFonts w:ascii="仿宋_GB2312" w:eastAsia="仿宋_GB2312"/>
          <w:spacing w:val="6"/>
          <w:sz w:val="32"/>
          <w:szCs w:val="32"/>
        </w:rPr>
        <w:t>。</w:t>
      </w:r>
    </w:p>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spacing w:line="360" w:lineRule="auto"/>
        <w:ind w:firstLine="664" w:firstLineChars="200"/>
        <w:rPr>
          <w:rFonts w:ascii="仿宋_GB2312" w:eastAsia="仿宋_GB2312"/>
          <w:spacing w:val="6"/>
          <w:sz w:val="32"/>
          <w:szCs w:val="32"/>
        </w:rPr>
      </w:pPr>
    </w:p>
    <w:p>
      <w:pPr>
        <w:pStyle w:val="3"/>
        <w:spacing w:beforeLines="50" w:afterLines="50" w:line="360" w:lineRule="auto"/>
        <w:rPr>
          <w:rFonts w:ascii="Times New Roman" w:hAnsi="Times New Roman" w:eastAsia="华文中宋" w:cs="Times New Roman"/>
          <w:sz w:val="36"/>
          <w:szCs w:val="36"/>
        </w:rPr>
      </w:pPr>
      <w:bookmarkStart w:id="7" w:name="_Toc68698319"/>
      <w:r>
        <w:rPr>
          <w:rFonts w:hint="eastAsia" w:ascii="Times New Roman" w:hAnsi="Times New Roman" w:eastAsia="华文中宋" w:cs="Times New Roman"/>
          <w:sz w:val="36"/>
          <w:szCs w:val="36"/>
        </w:rPr>
        <w:t>第二章  扩宽商务发展新内涵</w:t>
      </w:r>
      <w:bookmarkEnd w:id="7"/>
    </w:p>
    <w:p>
      <w:pPr>
        <w:spacing w:line="360" w:lineRule="auto"/>
        <w:ind w:firstLine="664" w:firstLineChars="200"/>
        <w:rPr>
          <w:rFonts w:ascii="宋体" w:hAnsi="宋体"/>
          <w:color w:val="000000"/>
          <w:kern w:val="0"/>
          <w:sz w:val="24"/>
          <w:szCs w:val="24"/>
        </w:rPr>
      </w:pPr>
      <w:r>
        <w:rPr>
          <w:rFonts w:hint="eastAsia" w:ascii="仿宋_GB2312" w:eastAsia="仿宋_GB2312"/>
          <w:spacing w:val="6"/>
          <w:sz w:val="32"/>
          <w:szCs w:val="32"/>
        </w:rPr>
        <w:t>“十四五”时期，是聊城市商务事业迈向高质量发展的关键五年，必须抓住用好重要战略机遇期，努力推动我市商务发展</w:t>
      </w:r>
      <w:r>
        <w:rPr>
          <w:rFonts w:hint="eastAsia" w:ascii="仿宋_GB2312" w:eastAsia="仿宋_GB2312"/>
          <w:color w:val="auto"/>
          <w:spacing w:val="6"/>
          <w:sz w:val="32"/>
          <w:szCs w:val="32"/>
          <w:lang w:val="en-US" w:eastAsia="zh-CN"/>
        </w:rPr>
        <w:t>争先进位、走在前列</w:t>
      </w:r>
      <w:r>
        <w:rPr>
          <w:rFonts w:hint="eastAsia" w:ascii="仿宋_GB2312" w:eastAsia="仿宋_GB2312"/>
          <w:spacing w:val="6"/>
          <w:sz w:val="32"/>
          <w:szCs w:val="32"/>
        </w:rPr>
        <w:t>。</w:t>
      </w:r>
    </w:p>
    <w:p>
      <w:pPr>
        <w:pStyle w:val="4"/>
        <w:spacing w:before="156" w:after="156" w:line="415" w:lineRule="auto"/>
        <w:jc w:val="center"/>
        <w:rPr>
          <w:rFonts w:ascii="楷体" w:hAnsi="楷体" w:eastAsia="楷体"/>
        </w:rPr>
      </w:pPr>
      <w:r>
        <w:rPr>
          <w:rFonts w:hint="eastAsia" w:ascii="楷体" w:hAnsi="楷体" w:eastAsia="楷体"/>
        </w:rPr>
        <w:t xml:space="preserve"> </w:t>
      </w:r>
      <w:bookmarkStart w:id="8" w:name="_Toc68698320"/>
      <w:r>
        <w:rPr>
          <w:rFonts w:hint="eastAsia" w:ascii="楷体" w:hAnsi="楷体" w:eastAsia="楷体"/>
        </w:rPr>
        <w:t>第一节  指导思想</w:t>
      </w:r>
      <w:bookmarkEnd w:id="8"/>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坚持以习近平新时代中国特色社会主义思想为指导，全面贯彻党的十九大和十九届二中、三中、四中</w:t>
      </w:r>
      <w:r>
        <w:rPr>
          <w:rFonts w:hint="eastAsia" w:ascii="仿宋_GB2312" w:eastAsia="仿宋_GB2312"/>
          <w:spacing w:val="6"/>
          <w:sz w:val="32"/>
          <w:szCs w:val="32"/>
        </w:rPr>
        <w:t>、五中</w:t>
      </w:r>
      <w:r>
        <w:rPr>
          <w:rFonts w:ascii="仿宋_GB2312" w:eastAsia="仿宋_GB2312"/>
          <w:spacing w:val="6"/>
          <w:sz w:val="32"/>
          <w:szCs w:val="32"/>
        </w:rPr>
        <w:t>全会精神，深入贯彻落实习近平总书记对山东工作的重要指示要求，</w:t>
      </w:r>
      <w:r>
        <w:rPr>
          <w:rFonts w:hint="eastAsia" w:ascii="仿宋_GB2312" w:eastAsia="仿宋_GB2312"/>
          <w:spacing w:val="6"/>
          <w:sz w:val="32"/>
          <w:szCs w:val="32"/>
        </w:rPr>
        <w:t>牢固树立创新、协调、绿色、开放、共享的发展理念，主动融入以国内大循环为主体、国内国际双循环相互促进的新发展格局，深度对接</w:t>
      </w:r>
      <w:r>
        <w:rPr>
          <w:rFonts w:ascii="仿宋_GB2312" w:eastAsia="仿宋_GB2312"/>
          <w:spacing w:val="6"/>
          <w:sz w:val="32"/>
          <w:szCs w:val="32"/>
        </w:rPr>
        <w:t>区域全面经济伙伴关系协定</w:t>
      </w:r>
      <w:r>
        <w:rPr>
          <w:rFonts w:hint="eastAsia" w:ascii="仿宋_GB2312" w:eastAsia="仿宋_GB2312"/>
          <w:spacing w:val="6"/>
          <w:sz w:val="32"/>
          <w:szCs w:val="32"/>
        </w:rPr>
        <w:t>，谋划聊城市商务发展“八大任务四大工程”，按照高质量发展要求，统筹用好国际国内两个市场、两种资源，坚持“引进来”和“走出去”并重、线上线下结合、“三外”融合发展，深度参与国际、区域性经济合作和“一带一路”建设，推动更大范围、更高层次、更宽领域的全面开放，培育对外开放新动能，塑造开放型经济发展新优势。</w:t>
      </w:r>
    </w:p>
    <w:p>
      <w:pPr>
        <w:pStyle w:val="4"/>
        <w:spacing w:before="156" w:after="156" w:line="415" w:lineRule="auto"/>
        <w:jc w:val="center"/>
        <w:rPr>
          <w:rFonts w:ascii="楷体" w:hAnsi="楷体" w:eastAsia="楷体"/>
        </w:rPr>
      </w:pPr>
      <w:r>
        <w:rPr>
          <w:rFonts w:hint="eastAsia" w:ascii="楷体" w:hAnsi="楷体" w:eastAsia="楷体"/>
        </w:rPr>
        <w:t xml:space="preserve"> </w:t>
      </w:r>
      <w:bookmarkStart w:id="9" w:name="_Toc68698321"/>
      <w:r>
        <w:rPr>
          <w:rFonts w:hint="eastAsia" w:ascii="楷体" w:hAnsi="楷体" w:eastAsia="楷体"/>
        </w:rPr>
        <w:t>第二节  规划原则</w:t>
      </w:r>
      <w:bookmarkEnd w:id="9"/>
    </w:p>
    <w:p>
      <w:pPr>
        <w:spacing w:line="360" w:lineRule="auto"/>
        <w:ind w:firstLine="667" w:firstLineChars="200"/>
        <w:rPr>
          <w:rFonts w:hint="eastAsia" w:ascii="仿宋_GB2312" w:eastAsia="仿宋_GB2312"/>
          <w:strike/>
          <w:dstrike w:val="0"/>
          <w:color w:val="auto"/>
          <w:spacing w:val="6"/>
          <w:sz w:val="32"/>
          <w:szCs w:val="32"/>
          <w:lang w:val="en-US" w:eastAsia="zh-CN"/>
        </w:rPr>
      </w:pPr>
      <w:r>
        <w:rPr>
          <w:rFonts w:hint="eastAsia" w:ascii="仿宋_GB2312" w:eastAsia="仿宋_GB2312"/>
          <w:b/>
          <w:color w:val="auto"/>
          <w:spacing w:val="6"/>
          <w:sz w:val="32"/>
          <w:szCs w:val="32"/>
        </w:rPr>
        <w:t>1.</w:t>
      </w:r>
      <w:r>
        <w:rPr>
          <w:rFonts w:hint="eastAsia" w:ascii="仿宋_GB2312" w:eastAsia="仿宋_GB2312"/>
          <w:b/>
          <w:bCs/>
          <w:strike w:val="0"/>
          <w:dstrike w:val="0"/>
          <w:color w:val="auto"/>
          <w:spacing w:val="6"/>
          <w:sz w:val="32"/>
          <w:szCs w:val="32"/>
          <w:lang w:val="en-US" w:eastAsia="zh-CN"/>
        </w:rPr>
        <w:t>坚持党的领导，固本培元。</w:t>
      </w:r>
      <w:r>
        <w:rPr>
          <w:rFonts w:hint="eastAsia" w:ascii="Times New Roman" w:hAnsi="Times New Roman" w:eastAsia="仿宋_GB2312"/>
          <w:color w:val="auto"/>
          <w:sz w:val="32"/>
          <w:szCs w:val="32"/>
        </w:rPr>
        <w:t>增强“四个意识”、坚定“四个自信”、做到“两个维护”，切实加强党对商务工作的全面领导，</w:t>
      </w:r>
      <w:r>
        <w:rPr>
          <w:rFonts w:hint="eastAsia" w:ascii="Times New Roman" w:hAnsi="Times New Roman" w:eastAsia="仿宋_GB2312"/>
          <w:color w:val="auto"/>
          <w:sz w:val="32"/>
          <w:szCs w:val="32"/>
          <w:lang w:val="en-US" w:eastAsia="zh-CN"/>
        </w:rPr>
        <w:t>强化政治引领，坚定不移全面推进党的建设，</w:t>
      </w:r>
      <w:r>
        <w:rPr>
          <w:rFonts w:hint="eastAsia" w:ascii="Times New Roman" w:hAnsi="Times New Roman" w:eastAsia="仿宋_GB2312"/>
          <w:color w:val="auto"/>
          <w:sz w:val="32"/>
          <w:szCs w:val="32"/>
        </w:rPr>
        <w:t>为实现商务高质量发展提供根本保证</w:t>
      </w:r>
      <w:r>
        <w:rPr>
          <w:rFonts w:hint="eastAsia" w:ascii="Times New Roman" w:hAnsi="Times New Roman" w:eastAsia="仿宋_GB2312"/>
          <w:color w:val="auto"/>
          <w:sz w:val="32"/>
          <w:szCs w:val="32"/>
          <w:lang w:eastAsia="zh-CN"/>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2.坚持以人为本，共建共享。</w:t>
      </w:r>
      <w:r>
        <w:rPr>
          <w:rFonts w:hint="eastAsia" w:ascii="仿宋_GB2312" w:eastAsia="仿宋_GB2312"/>
          <w:spacing w:val="6"/>
          <w:sz w:val="32"/>
          <w:szCs w:val="32"/>
        </w:rPr>
        <w:t>以满足人民日益增长的美好生活需要为根本出发点和落脚点，突出以人为本，注重商贸基础设施均等公平、全域覆盖，以共建共享推动商务发展普惠民生，发展成果惠及更多人民群众。</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3.坚持科技驱动，创新发展。</w:t>
      </w:r>
      <w:r>
        <w:rPr>
          <w:rFonts w:hint="eastAsia" w:ascii="仿宋_GB2312" w:eastAsia="仿宋_GB2312"/>
          <w:spacing w:val="6"/>
          <w:sz w:val="32"/>
          <w:szCs w:val="32"/>
        </w:rPr>
        <w:t>坚持把创新作为推动商务发展的根本动力，从科技创新、体制创新、发展模式创新等方面入手，集聚创新资源，打造创新平台，营造创新环境，构筑创新体系，不断提高企业原始创新、集成创新和消化吸收再创新能力，实现聊城市商务发展从要素驱动向创新驱动的转变。</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4.坚持合作共赢，开放发展。</w:t>
      </w:r>
      <w:r>
        <w:rPr>
          <w:rFonts w:ascii="仿宋_GB2312" w:eastAsia="仿宋_GB2312"/>
          <w:spacing w:val="6"/>
          <w:sz w:val="32"/>
          <w:szCs w:val="32"/>
        </w:rPr>
        <w:t>树立全方位开放、包容性开放、区域协同开放新理念，以承接产业转移为核心，以产业链完善为产业承接重点</w:t>
      </w:r>
      <w:r>
        <w:rPr>
          <w:rFonts w:hint="eastAsia" w:ascii="仿宋_GB2312" w:eastAsia="仿宋_GB2312"/>
          <w:spacing w:val="6"/>
          <w:sz w:val="32"/>
          <w:szCs w:val="32"/>
        </w:rPr>
        <w:t>，在</w:t>
      </w:r>
      <w:r>
        <w:rPr>
          <w:rFonts w:ascii="仿宋_GB2312" w:eastAsia="仿宋_GB2312"/>
          <w:spacing w:val="6"/>
          <w:sz w:val="32"/>
          <w:szCs w:val="32"/>
        </w:rPr>
        <w:t>主动融入</w:t>
      </w:r>
      <w:r>
        <w:rPr>
          <w:rFonts w:hint="eastAsia" w:ascii="仿宋_GB2312" w:eastAsia="仿宋_GB2312"/>
          <w:spacing w:val="6"/>
          <w:sz w:val="32"/>
          <w:szCs w:val="32"/>
        </w:rPr>
        <w:t>对接</w:t>
      </w:r>
      <w:r>
        <w:rPr>
          <w:rFonts w:ascii="仿宋_GB2312" w:eastAsia="仿宋_GB2312"/>
          <w:spacing w:val="6"/>
          <w:sz w:val="32"/>
          <w:szCs w:val="32"/>
        </w:rPr>
        <w:t>黄河战略</w:t>
      </w:r>
      <w:r>
        <w:rPr>
          <w:rFonts w:hint="eastAsia" w:ascii="仿宋_GB2312" w:eastAsia="仿宋_GB2312"/>
          <w:spacing w:val="6"/>
          <w:sz w:val="32"/>
          <w:szCs w:val="32"/>
        </w:rPr>
        <w:t>和新旧动能转换战略中谋求开放</w:t>
      </w:r>
      <w:r>
        <w:rPr>
          <w:rFonts w:ascii="仿宋_GB2312" w:eastAsia="仿宋_GB2312"/>
          <w:spacing w:val="6"/>
          <w:sz w:val="32"/>
          <w:szCs w:val="32"/>
        </w:rPr>
        <w:t>发展</w:t>
      </w:r>
      <w:r>
        <w:rPr>
          <w:rFonts w:hint="eastAsia" w:ascii="仿宋_GB2312" w:eastAsia="仿宋_GB2312"/>
          <w:spacing w:val="6"/>
          <w:sz w:val="32"/>
          <w:szCs w:val="32"/>
        </w:rPr>
        <w:t>，深度对接</w:t>
      </w:r>
      <w:r>
        <w:rPr>
          <w:rFonts w:ascii="仿宋_GB2312" w:eastAsia="仿宋_GB2312"/>
          <w:spacing w:val="6"/>
          <w:sz w:val="32"/>
          <w:szCs w:val="32"/>
        </w:rPr>
        <w:t>区域全面经济伙伴关系协定</w:t>
      </w:r>
      <w:r>
        <w:rPr>
          <w:rFonts w:hint="eastAsia" w:ascii="仿宋_GB2312" w:eastAsia="仿宋_GB2312"/>
          <w:spacing w:val="6"/>
          <w:sz w:val="32"/>
          <w:szCs w:val="32"/>
        </w:rPr>
        <w:t>，加快融入以国内大循环为主体、国内国际双循环相互促进的新发展格局之中。</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5.坚持跨域合作，内外联动。</w:t>
      </w:r>
      <w:r>
        <w:rPr>
          <w:rFonts w:hint="eastAsia" w:ascii="仿宋_GB2312" w:eastAsia="仿宋_GB2312"/>
          <w:spacing w:val="6"/>
          <w:sz w:val="32"/>
          <w:szCs w:val="32"/>
        </w:rPr>
        <w:t>积极对接国家重大战略，加强国际国内商务对外合作，以内促外，以外带内，统筹推动“走出去”“引进来”，加快形成内外联动、创新发展的商务跨域合作新格局。</w:t>
      </w:r>
    </w:p>
    <w:p>
      <w:pPr>
        <w:pStyle w:val="4"/>
        <w:spacing w:before="156" w:after="156" w:line="415" w:lineRule="auto"/>
        <w:jc w:val="center"/>
        <w:rPr>
          <w:rFonts w:hint="eastAsia" w:ascii="楷体" w:hAnsi="楷体" w:eastAsia="楷体"/>
          <w:color w:val="auto"/>
        </w:rPr>
      </w:pPr>
      <w:r>
        <w:rPr>
          <w:rFonts w:hint="eastAsia" w:ascii="楷体" w:hAnsi="楷体" w:eastAsia="楷体"/>
          <w:color w:val="auto"/>
        </w:rPr>
        <w:t>第三节  2035年远景目标</w:t>
      </w:r>
    </w:p>
    <w:p>
      <w:pPr>
        <w:pStyle w:val="4"/>
        <w:spacing w:before="156" w:after="156" w:line="415" w:lineRule="auto"/>
        <w:jc w:val="left"/>
        <w:rPr>
          <w:rFonts w:hint="eastAsia" w:ascii="楷体" w:hAnsi="楷体" w:eastAsia="楷体"/>
          <w:color w:val="auto"/>
        </w:rPr>
      </w:pPr>
      <w:r>
        <w:rPr>
          <w:rFonts w:hint="eastAsia" w:ascii="楷体" w:hAnsi="楷体" w:eastAsia="楷体"/>
          <w:color w:val="auto"/>
          <w:lang w:val="en-US" w:eastAsia="zh-CN"/>
        </w:rPr>
        <w:t xml:space="preserve">   </w:t>
      </w:r>
      <w:r>
        <w:rPr>
          <w:rFonts w:hint="eastAsia" w:ascii="仿宋_GB2312" w:eastAsia="仿宋_GB2312" w:hAnsiTheme="minorHAnsi" w:cstheme="minorBidi"/>
          <w:b w:val="0"/>
          <w:bCs w:val="0"/>
          <w:color w:val="auto"/>
          <w:spacing w:val="6"/>
          <w:kern w:val="2"/>
          <w:sz w:val="32"/>
          <w:szCs w:val="32"/>
          <w:lang w:val="en-US" w:eastAsia="zh-CN" w:bidi="ar-SA"/>
        </w:rPr>
        <w:t xml:space="preserve"> 与《聊城市国民经济和社会发展第十四个五年规划和二〇三五年远景目标纲要》和《山东省“十四五”商务发展规划》目标相衔接，展望2035年，聊城市对外开放新格局基本形成：参与“双循环”合作和竞争新优势明显增强，双循环战略枢纽地位不断强化；数字经济与实体经济深度融合，新业态新模式主导作用日益彰显；开放平台和载体逐步健全，开发区开放引领作用显著提升；国际营商环境持续优化，参与国际经济合作和竞争新优势明显增强。</w:t>
      </w:r>
    </w:p>
    <w:p>
      <w:pPr>
        <w:pStyle w:val="4"/>
        <w:spacing w:before="156" w:after="156" w:line="415" w:lineRule="auto"/>
        <w:jc w:val="center"/>
        <w:rPr>
          <w:rFonts w:ascii="楷体" w:hAnsi="楷体" w:eastAsia="楷体"/>
        </w:rPr>
      </w:pPr>
      <w:bookmarkStart w:id="10" w:name="_Toc68698322"/>
      <w:r>
        <w:rPr>
          <w:rFonts w:hint="eastAsia" w:ascii="楷体" w:hAnsi="楷体" w:eastAsia="楷体"/>
        </w:rPr>
        <w:t>第</w:t>
      </w:r>
      <w:r>
        <w:rPr>
          <w:rFonts w:hint="eastAsia" w:ascii="楷体" w:hAnsi="楷体" w:eastAsia="楷体"/>
          <w:lang w:val="en-US" w:eastAsia="zh-CN"/>
        </w:rPr>
        <w:t>四</w:t>
      </w:r>
      <w:r>
        <w:rPr>
          <w:rFonts w:hint="eastAsia" w:ascii="楷体" w:hAnsi="楷体" w:eastAsia="楷体"/>
        </w:rPr>
        <w:t xml:space="preserve">节  </w:t>
      </w:r>
      <w:r>
        <w:rPr>
          <w:rFonts w:hint="eastAsia" w:ascii="楷体" w:hAnsi="楷体" w:eastAsia="楷体"/>
          <w:lang w:eastAsia="zh-CN"/>
        </w:rPr>
        <w:t>“</w:t>
      </w:r>
      <w:r>
        <w:rPr>
          <w:rFonts w:hint="eastAsia" w:ascii="楷体" w:hAnsi="楷体" w:eastAsia="楷体"/>
          <w:lang w:val="en-US" w:eastAsia="zh-CN"/>
        </w:rPr>
        <w:t>十四五</w:t>
      </w:r>
      <w:r>
        <w:rPr>
          <w:rFonts w:hint="eastAsia" w:ascii="楷体" w:hAnsi="楷体" w:eastAsia="楷体"/>
          <w:lang w:eastAsia="zh-CN"/>
        </w:rPr>
        <w:t>”</w:t>
      </w:r>
      <w:r>
        <w:rPr>
          <w:rFonts w:hint="eastAsia" w:ascii="楷体" w:hAnsi="楷体" w:eastAsia="楷体"/>
          <w:lang w:val="en-US" w:eastAsia="zh-CN"/>
        </w:rPr>
        <w:t>时期</w:t>
      </w:r>
      <w:r>
        <w:rPr>
          <w:rFonts w:hint="eastAsia" w:ascii="楷体" w:hAnsi="楷体" w:eastAsia="楷体"/>
        </w:rPr>
        <w:t>发展目标</w:t>
      </w:r>
      <w:bookmarkEnd w:id="10"/>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“十四五”期间，聊城市商务发展聚焦商贸、消费、贸易、投资等重点领域，激发商务经济发展的强大活力，成为</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商务领域创新示范引领城市。预计到</w:t>
      </w:r>
      <w:r>
        <w:rPr>
          <w:rFonts w:ascii="仿宋_GB2312" w:eastAsia="仿宋_GB2312"/>
          <w:spacing w:val="6"/>
          <w:sz w:val="32"/>
          <w:szCs w:val="32"/>
        </w:rPr>
        <w:t>2025年，实现以下主要目标：</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1.商业消费稳步提升。</w:t>
      </w:r>
      <w:r>
        <w:rPr>
          <w:rFonts w:hint="eastAsia" w:ascii="仿宋_GB2312" w:eastAsia="仿宋_GB2312"/>
          <w:color w:val="auto"/>
          <w:spacing w:val="6"/>
          <w:sz w:val="32"/>
          <w:szCs w:val="32"/>
        </w:rPr>
        <w:t>到</w:t>
      </w:r>
      <w:r>
        <w:rPr>
          <w:rFonts w:ascii="仿宋_GB2312" w:eastAsia="仿宋_GB2312"/>
          <w:color w:val="auto"/>
          <w:spacing w:val="6"/>
          <w:sz w:val="32"/>
          <w:szCs w:val="32"/>
        </w:rPr>
        <w:t>2025年，实现</w:t>
      </w:r>
      <w:r>
        <w:rPr>
          <w:rFonts w:hint="eastAsia" w:ascii="仿宋_GB2312" w:eastAsia="仿宋_GB2312"/>
          <w:color w:val="auto"/>
          <w:spacing w:val="6"/>
          <w:sz w:val="32"/>
          <w:szCs w:val="32"/>
        </w:rPr>
        <w:t>社会消费品零售总额</w:t>
      </w:r>
      <w:r>
        <w:rPr>
          <w:rFonts w:hint="eastAsia" w:ascii="仿宋_GB2312" w:eastAsia="仿宋_GB2312"/>
          <w:color w:val="auto"/>
          <w:spacing w:val="6"/>
          <w:sz w:val="32"/>
          <w:szCs w:val="32"/>
          <w:lang w:val="en-US" w:eastAsia="zh-CN"/>
        </w:rPr>
        <w:t>1071.97</w:t>
      </w:r>
      <w:r>
        <w:rPr>
          <w:rFonts w:hint="eastAsia" w:ascii="仿宋_GB2312" w:eastAsia="仿宋_GB2312"/>
          <w:color w:val="auto"/>
          <w:spacing w:val="6"/>
          <w:sz w:val="32"/>
          <w:szCs w:val="32"/>
        </w:rPr>
        <w:t>亿元，批发和零售业零售额</w:t>
      </w:r>
      <w:r>
        <w:rPr>
          <w:rFonts w:hint="eastAsia" w:ascii="仿宋_GB2312" w:eastAsia="仿宋_GB2312"/>
          <w:color w:val="auto"/>
          <w:spacing w:val="6"/>
          <w:sz w:val="32"/>
          <w:szCs w:val="32"/>
          <w:lang w:val="en-US" w:eastAsia="zh-CN"/>
        </w:rPr>
        <w:t>1002.29</w:t>
      </w:r>
      <w:r>
        <w:rPr>
          <w:rFonts w:ascii="仿宋_GB2312" w:eastAsia="仿宋_GB2312"/>
          <w:color w:val="auto"/>
          <w:spacing w:val="6"/>
          <w:sz w:val="32"/>
          <w:szCs w:val="32"/>
        </w:rPr>
        <w:t>亿元，</w:t>
      </w:r>
      <w:r>
        <w:rPr>
          <w:rFonts w:hint="eastAsia" w:ascii="仿宋_GB2312" w:eastAsia="仿宋_GB2312"/>
          <w:color w:val="auto"/>
          <w:spacing w:val="6"/>
          <w:sz w:val="32"/>
          <w:szCs w:val="32"/>
        </w:rPr>
        <w:t>住宿和餐饮业零售额</w:t>
      </w:r>
      <w:r>
        <w:rPr>
          <w:rFonts w:hint="eastAsia" w:ascii="仿宋_GB2312" w:eastAsia="仿宋_GB2312"/>
          <w:color w:val="auto"/>
          <w:spacing w:val="6"/>
          <w:sz w:val="32"/>
          <w:szCs w:val="32"/>
          <w:lang w:val="en-US" w:eastAsia="zh-CN"/>
        </w:rPr>
        <w:t>69.68</w:t>
      </w:r>
      <w:r>
        <w:rPr>
          <w:rFonts w:ascii="仿宋_GB2312" w:eastAsia="仿宋_GB2312"/>
          <w:color w:val="auto"/>
          <w:spacing w:val="6"/>
          <w:sz w:val="32"/>
          <w:szCs w:val="32"/>
        </w:rPr>
        <w:t>亿元</w:t>
      </w:r>
      <w:r>
        <w:rPr>
          <w:rFonts w:hint="eastAsia" w:ascii="仿宋_GB2312" w:eastAsia="仿宋_GB2312"/>
          <w:color w:val="auto"/>
          <w:spacing w:val="6"/>
          <w:sz w:val="32"/>
          <w:szCs w:val="32"/>
        </w:rPr>
        <w:t>；网络零售额</w:t>
      </w:r>
      <w:r>
        <w:rPr>
          <w:rFonts w:hint="eastAsia" w:ascii="仿宋_GB2312" w:eastAsia="仿宋_GB2312"/>
          <w:color w:val="auto"/>
          <w:spacing w:val="6"/>
          <w:sz w:val="32"/>
          <w:szCs w:val="32"/>
          <w:lang w:val="en-US" w:eastAsia="zh-CN"/>
        </w:rPr>
        <w:t>200</w:t>
      </w:r>
      <w:r>
        <w:rPr>
          <w:rFonts w:ascii="仿宋_GB2312" w:eastAsia="仿宋_GB2312"/>
          <w:color w:val="auto"/>
          <w:spacing w:val="6"/>
          <w:sz w:val="32"/>
          <w:szCs w:val="32"/>
        </w:rPr>
        <w:t>亿元</w:t>
      </w:r>
      <w:r>
        <w:rPr>
          <w:rFonts w:hint="eastAsia" w:ascii="仿宋_GB2312" w:eastAsia="仿宋_GB2312"/>
          <w:color w:val="auto"/>
          <w:spacing w:val="6"/>
          <w:sz w:val="32"/>
          <w:szCs w:val="32"/>
        </w:rPr>
        <w:t>，电子商务与</w:t>
      </w:r>
      <w:r>
        <w:rPr>
          <w:rFonts w:hint="eastAsia" w:ascii="仿宋_GB2312" w:eastAsia="仿宋_GB2312"/>
          <w:spacing w:val="6"/>
          <w:sz w:val="32"/>
          <w:szCs w:val="32"/>
        </w:rPr>
        <w:t>传统产业深度融合，成为拉动社会消费品零售增长的重要动力</w:t>
      </w:r>
      <w:r>
        <w:rPr>
          <w:rFonts w:ascii="仿宋_GB2312" w:eastAsia="仿宋_GB2312"/>
          <w:spacing w:val="6"/>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2.对外贸易平稳增长。</w:t>
      </w:r>
      <w:r>
        <w:rPr>
          <w:rFonts w:hint="eastAsia" w:ascii="仿宋_GB2312" w:eastAsia="仿宋_GB2312"/>
          <w:spacing w:val="6"/>
          <w:sz w:val="32"/>
          <w:szCs w:val="32"/>
        </w:rPr>
        <w:t>在稳住外贸外资基本盘的基础上，</w:t>
      </w:r>
      <w:r>
        <w:rPr>
          <w:rFonts w:hint="eastAsia" w:ascii="仿宋_GB2312" w:eastAsia="仿宋_GB2312"/>
          <w:color w:val="auto"/>
          <w:spacing w:val="6"/>
          <w:sz w:val="32"/>
          <w:szCs w:val="32"/>
          <w:lang w:val="en-US" w:eastAsia="zh-CN"/>
        </w:rPr>
        <w:t>5</w:t>
      </w:r>
      <w:r>
        <w:rPr>
          <w:rFonts w:hint="eastAsia" w:ascii="仿宋_GB2312" w:eastAsia="仿宋_GB2312"/>
          <w:color w:val="auto"/>
          <w:spacing w:val="6"/>
          <w:sz w:val="32"/>
          <w:szCs w:val="32"/>
        </w:rPr>
        <w:t>年内实现出口过千万美元的企业达到100家，进口过千万美元的企业达到20家，新增有出口实绩的企业200家。</w:t>
      </w:r>
      <w:r>
        <w:rPr>
          <w:rFonts w:hint="eastAsia" w:ascii="仿宋_GB2312" w:eastAsia="仿宋_GB2312"/>
          <w:spacing w:val="6"/>
          <w:sz w:val="32"/>
          <w:szCs w:val="32"/>
        </w:rPr>
        <w:t>到</w:t>
      </w:r>
      <w:r>
        <w:rPr>
          <w:rFonts w:ascii="仿宋_GB2312" w:eastAsia="仿宋_GB2312"/>
          <w:spacing w:val="6"/>
          <w:sz w:val="32"/>
          <w:szCs w:val="32"/>
        </w:rPr>
        <w:t>2025年，货物贸易</w:t>
      </w:r>
      <w:r>
        <w:rPr>
          <w:rFonts w:hint="eastAsia" w:ascii="仿宋_GB2312" w:eastAsia="仿宋_GB2312"/>
          <w:spacing w:val="6"/>
          <w:sz w:val="32"/>
          <w:szCs w:val="32"/>
        </w:rPr>
        <w:t>进出口总额</w:t>
      </w:r>
      <w:r>
        <w:rPr>
          <w:rFonts w:hint="eastAsia" w:ascii="仿宋_GB2312" w:eastAsia="仿宋_GB2312"/>
          <w:spacing w:val="6"/>
          <w:sz w:val="32"/>
          <w:szCs w:val="32"/>
          <w:lang w:val="en-US" w:eastAsia="zh-CN"/>
        </w:rPr>
        <w:t>78.4</w:t>
      </w:r>
      <w:r>
        <w:rPr>
          <w:rFonts w:ascii="仿宋_GB2312" w:eastAsia="仿宋_GB2312"/>
          <w:spacing w:val="6"/>
          <w:sz w:val="32"/>
          <w:szCs w:val="32"/>
        </w:rPr>
        <w:t>亿美元</w:t>
      </w:r>
      <w:r>
        <w:rPr>
          <w:rFonts w:hint="eastAsia" w:ascii="仿宋_GB2312" w:eastAsia="仿宋_GB2312"/>
          <w:spacing w:val="6"/>
          <w:sz w:val="32"/>
          <w:szCs w:val="32"/>
        </w:rPr>
        <w:t>，货物进出口规模保持适度平稳增长。跨境电子商务</w:t>
      </w:r>
      <w:r>
        <w:rPr>
          <w:rFonts w:hint="eastAsia" w:ascii="仿宋_GB2312" w:eastAsia="仿宋_GB2312"/>
          <w:color w:val="auto"/>
          <w:spacing w:val="6"/>
          <w:sz w:val="32"/>
          <w:szCs w:val="32"/>
          <w:lang w:val="en-US" w:eastAsia="zh-CN"/>
        </w:rPr>
        <w:t>稳步发展</w:t>
      </w:r>
      <w:r>
        <w:rPr>
          <w:rFonts w:hint="eastAsia" w:ascii="仿宋_GB2312" w:eastAsia="仿宋_GB2312"/>
          <w:spacing w:val="6"/>
          <w:sz w:val="32"/>
          <w:szCs w:val="32"/>
        </w:rPr>
        <w:t>，建成1个保税物流中心（B型）、1个国际合作园区、3个对外合作服务平台，培育一批具有较强影响力的高端产业基地和跨国公司。</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3.外资利用提质增效。</w:t>
      </w:r>
      <w:r>
        <w:rPr>
          <w:rFonts w:hint="eastAsia" w:ascii="仿宋_GB2312" w:eastAsia="仿宋_GB2312"/>
          <w:spacing w:val="6"/>
          <w:sz w:val="32"/>
          <w:szCs w:val="32"/>
        </w:rPr>
        <w:t>到2025年，实际使用外资金额</w:t>
      </w:r>
      <w:r>
        <w:rPr>
          <w:rFonts w:hint="eastAsia" w:ascii="仿宋_GB2312" w:eastAsia="仿宋_GB2312"/>
          <w:color w:val="auto"/>
          <w:spacing w:val="6"/>
          <w:sz w:val="32"/>
          <w:szCs w:val="32"/>
          <w:lang w:val="en-US" w:eastAsia="zh-CN"/>
        </w:rPr>
        <w:t>5</w:t>
      </w:r>
      <w:r>
        <w:rPr>
          <w:rFonts w:ascii="仿宋_GB2312" w:eastAsia="仿宋_GB2312"/>
          <w:spacing w:val="6"/>
          <w:sz w:val="32"/>
          <w:szCs w:val="32"/>
        </w:rPr>
        <w:t>亿美元</w:t>
      </w:r>
      <w:r>
        <w:rPr>
          <w:rFonts w:hint="eastAsia" w:ascii="仿宋_GB2312" w:eastAsia="仿宋_GB2312"/>
          <w:spacing w:val="6"/>
          <w:sz w:val="32"/>
          <w:szCs w:val="32"/>
        </w:rPr>
        <w:t>，每年引进过千万美元的外资项目5个以上，新注册外资企业20家以上，使用外资总体规模继续保持稳定增长，外资利用效率持续提升，外资利用的“亩均效益”增长显著。</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4.对外开放深入推进。</w:t>
      </w:r>
      <w:r>
        <w:rPr>
          <w:rFonts w:hint="eastAsia" w:ascii="仿宋_GB2312" w:eastAsia="仿宋_GB2312"/>
          <w:spacing w:val="6"/>
          <w:sz w:val="32"/>
          <w:szCs w:val="32"/>
        </w:rPr>
        <w:t>传统优势产业开放度大幅提高，“四新四化”产业链条更加健全，区域开放优势明显提升，辐射带动作用进一步增强，力争打造成为冀鲁豫交界地区对外开放新高地。</w:t>
      </w:r>
    </w:p>
    <w:p>
      <w:pPr>
        <w:pStyle w:val="6"/>
        <w:keepNext/>
        <w:ind w:firstLine="560"/>
        <w:jc w:val="center"/>
        <w:rPr>
          <w:rFonts w:ascii="黑体" w:hAnsi="黑体" w:eastAsia="黑体"/>
          <w:color w:val="000000"/>
          <w:sz w:val="28"/>
          <w:szCs w:val="28"/>
        </w:rPr>
      </w:pPr>
      <w:r>
        <w:rPr>
          <w:rFonts w:hint="eastAsia" w:ascii="黑体" w:hAnsi="黑体" w:eastAsia="黑体"/>
          <w:color w:val="000000"/>
          <w:sz w:val="28"/>
          <w:szCs w:val="28"/>
        </w:rPr>
        <w:t>表1  聊城市</w:t>
      </w:r>
      <w:r>
        <w:rPr>
          <w:rFonts w:ascii="黑体" w:hAnsi="黑体" w:eastAsia="黑体"/>
          <w:color w:val="000000"/>
          <w:sz w:val="28"/>
          <w:szCs w:val="28"/>
        </w:rPr>
        <w:t>“</w:t>
      </w:r>
      <w:r>
        <w:rPr>
          <w:rFonts w:hint="eastAsia" w:ascii="黑体" w:hAnsi="黑体" w:eastAsia="黑体"/>
          <w:color w:val="000000"/>
          <w:sz w:val="28"/>
          <w:szCs w:val="28"/>
        </w:rPr>
        <w:t>十四五</w:t>
      </w:r>
      <w:r>
        <w:rPr>
          <w:rFonts w:ascii="黑体" w:hAnsi="黑体" w:eastAsia="黑体"/>
          <w:color w:val="000000"/>
          <w:sz w:val="28"/>
          <w:szCs w:val="28"/>
        </w:rPr>
        <w:t>”</w:t>
      </w:r>
      <w:r>
        <w:rPr>
          <w:rFonts w:hint="eastAsia" w:ascii="黑体" w:hAnsi="黑体" w:eastAsia="黑体"/>
          <w:color w:val="000000"/>
          <w:sz w:val="28"/>
          <w:szCs w:val="28"/>
        </w:rPr>
        <w:t>商务发展目标</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
      <w:tblGrid>
        <w:gridCol w:w="817"/>
        <w:gridCol w:w="709"/>
        <w:gridCol w:w="2977"/>
        <w:gridCol w:w="1559"/>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7"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类别</w:t>
            </w:r>
          </w:p>
        </w:tc>
        <w:tc>
          <w:tcPr>
            <w:tcW w:w="709"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序号</w:t>
            </w:r>
          </w:p>
        </w:tc>
        <w:tc>
          <w:tcPr>
            <w:tcW w:w="2977"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指标</w:t>
            </w:r>
          </w:p>
        </w:tc>
        <w:tc>
          <w:tcPr>
            <w:tcW w:w="1559"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2020年</w:t>
            </w:r>
          </w:p>
        </w:tc>
        <w:tc>
          <w:tcPr>
            <w:tcW w:w="1276"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2025年</w:t>
            </w:r>
          </w:p>
        </w:tc>
        <w:tc>
          <w:tcPr>
            <w:tcW w:w="1184"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商业消费</w:t>
            </w:r>
          </w:p>
        </w:tc>
        <w:tc>
          <w:tcPr>
            <w:tcW w:w="70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1</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社会消费品零售总额（亿元）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801.04</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1071.97</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2</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批发和零售业零售额（亿元）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748.47</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1002.29</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3</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住宿和餐饮业零售额（亿元）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52.57</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69.68</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4</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网络零售额（亿元）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126.3</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200</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对外贸易</w:t>
            </w: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5</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货物贸易进出口总额（亿美元）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61.7</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78.4</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6</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服务贸易进出口总额（亿美元）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2.26</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2.87</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7</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出口过千万美元企业数量（家）</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61</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110</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8</w:t>
            </w:r>
          </w:p>
        </w:tc>
        <w:tc>
          <w:tcPr>
            <w:tcW w:w="2977" w:type="dxa"/>
            <w:shd w:val="clear" w:color="auto" w:fill="F1F1F1" w:themeFill="background1" w:themeFillShade="F2"/>
            <w:vAlign w:val="center"/>
          </w:tcPr>
          <w:p>
            <w:pPr>
              <w:jc w:val="left"/>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rPr>
              <w:t>跨境电子商务交易额</w:t>
            </w:r>
            <w:r>
              <w:rPr>
                <w:rFonts w:hint="eastAsia" w:ascii="仿宋_GB2312" w:hAnsi="宋体" w:eastAsia="仿宋_GB2312" w:cs="Times New Roman"/>
                <w:kern w:val="0"/>
                <w:sz w:val="24"/>
                <w:szCs w:val="20"/>
                <w:lang w:eastAsia="zh-CN"/>
              </w:rPr>
              <w:t>（</w:t>
            </w:r>
            <w:r>
              <w:rPr>
                <w:rFonts w:hint="eastAsia" w:ascii="仿宋_GB2312" w:hAnsi="宋体" w:eastAsia="仿宋_GB2312" w:cs="Times New Roman"/>
                <w:kern w:val="0"/>
                <w:sz w:val="24"/>
                <w:szCs w:val="20"/>
                <w:lang w:val="en-US" w:eastAsia="zh-CN"/>
              </w:rPr>
              <w:t>亿元</w:t>
            </w:r>
            <w:r>
              <w:rPr>
                <w:rFonts w:hint="eastAsia" w:ascii="仿宋_GB2312" w:hAnsi="宋体" w:eastAsia="仿宋_GB2312" w:cs="Times New Roman"/>
                <w:kern w:val="0"/>
                <w:sz w:val="24"/>
                <w:szCs w:val="20"/>
                <w:lang w:eastAsia="zh-CN"/>
              </w:rPr>
              <w:t>）</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243.8</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310</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利用外资</w:t>
            </w:r>
          </w:p>
        </w:tc>
        <w:tc>
          <w:tcPr>
            <w:tcW w:w="709" w:type="dxa"/>
            <w:shd w:val="clear" w:color="auto" w:fill="F1F1F1" w:themeFill="background1" w:themeFillShade="F2"/>
            <w:vAlign w:val="center"/>
          </w:tcPr>
          <w:p>
            <w:pPr>
              <w:jc w:val="center"/>
              <w:rPr>
                <w:rFonts w:hint="eastAsia" w:ascii="仿宋_GB2312" w:hAnsi="宋体" w:eastAsia="仿宋_GB2312" w:cs="Times New Roman"/>
                <w:color w:val="auto"/>
                <w:kern w:val="0"/>
                <w:sz w:val="24"/>
                <w:szCs w:val="20"/>
                <w:lang w:eastAsia="zh-CN"/>
              </w:rPr>
            </w:pPr>
            <w:r>
              <w:rPr>
                <w:rFonts w:hint="eastAsia" w:ascii="仿宋_GB2312" w:hAnsi="宋体" w:eastAsia="仿宋_GB2312" w:cs="Times New Roman"/>
                <w:color w:val="auto"/>
                <w:kern w:val="0"/>
                <w:sz w:val="24"/>
                <w:szCs w:val="20"/>
                <w:lang w:val="en-US" w:eastAsia="zh-CN"/>
              </w:rPr>
              <w:t>9</w:t>
            </w:r>
          </w:p>
        </w:tc>
        <w:tc>
          <w:tcPr>
            <w:tcW w:w="2977" w:type="dxa"/>
            <w:shd w:val="clear" w:color="auto" w:fill="F1F1F1" w:themeFill="background1" w:themeFillShade="F2"/>
            <w:vAlign w:val="center"/>
          </w:tcPr>
          <w:p>
            <w:pPr>
              <w:jc w:val="left"/>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实际使用外资金额（亿美元）</w:t>
            </w:r>
          </w:p>
        </w:tc>
        <w:tc>
          <w:tcPr>
            <w:tcW w:w="1559"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2.08</w:t>
            </w:r>
          </w:p>
        </w:tc>
        <w:tc>
          <w:tcPr>
            <w:tcW w:w="1276"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5</w:t>
            </w:r>
          </w:p>
        </w:tc>
        <w:tc>
          <w:tcPr>
            <w:tcW w:w="1184"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default" w:ascii="仿宋_GB2312" w:hAnsi="宋体" w:eastAsia="仿宋_GB2312" w:cs="Times New Roman"/>
                <w:color w:val="auto"/>
                <w:kern w:val="0"/>
                <w:sz w:val="24"/>
                <w:szCs w:val="20"/>
                <w:lang w:val="en-US" w:eastAsia="zh-CN"/>
              </w:rPr>
            </w:pPr>
            <w:r>
              <w:rPr>
                <w:rFonts w:hint="eastAsia" w:ascii="仿宋_GB2312" w:hAnsi="宋体" w:eastAsia="仿宋_GB2312" w:cs="Times New Roman"/>
                <w:color w:val="auto"/>
                <w:kern w:val="0"/>
                <w:sz w:val="24"/>
                <w:szCs w:val="20"/>
                <w:lang w:val="en-US" w:eastAsia="zh-CN"/>
              </w:rPr>
              <w:t>10</w:t>
            </w:r>
          </w:p>
        </w:tc>
        <w:tc>
          <w:tcPr>
            <w:tcW w:w="2977" w:type="dxa"/>
            <w:shd w:val="clear" w:color="auto" w:fill="F1F1F1" w:themeFill="background1" w:themeFillShade="F2"/>
            <w:vAlign w:val="center"/>
          </w:tcPr>
          <w:p>
            <w:pPr>
              <w:jc w:val="left"/>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每年引进过千万美元的外资项目数（个）</w:t>
            </w:r>
          </w:p>
        </w:tc>
        <w:tc>
          <w:tcPr>
            <w:tcW w:w="1559"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6</w:t>
            </w:r>
          </w:p>
        </w:tc>
        <w:tc>
          <w:tcPr>
            <w:tcW w:w="1276"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10</w:t>
            </w:r>
          </w:p>
        </w:tc>
        <w:tc>
          <w:tcPr>
            <w:tcW w:w="1184"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对外开放</w:t>
            </w:r>
          </w:p>
        </w:tc>
        <w:tc>
          <w:tcPr>
            <w:tcW w:w="70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11</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境外投资存量（亿美元）</w:t>
            </w:r>
          </w:p>
        </w:tc>
        <w:tc>
          <w:tcPr>
            <w:tcW w:w="155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276"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12</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实际对外直接投资额（亿美元）</w:t>
            </w:r>
          </w:p>
        </w:tc>
        <w:tc>
          <w:tcPr>
            <w:tcW w:w="155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276"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13</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经济</w:t>
            </w:r>
            <w:r>
              <w:rPr>
                <w:rFonts w:hint="eastAsia" w:ascii="仿宋_GB2312" w:hAnsi="宋体" w:eastAsia="仿宋_GB2312" w:cs="Times New Roman"/>
                <w:kern w:val="0"/>
                <w:sz w:val="24"/>
                <w:szCs w:val="20"/>
                <w:lang w:val="en-US" w:eastAsia="zh-CN"/>
              </w:rPr>
              <w:t>外向</w:t>
            </w:r>
            <w:r>
              <w:rPr>
                <w:rFonts w:hint="eastAsia" w:ascii="仿宋_GB2312" w:hAnsi="宋体" w:eastAsia="仿宋_GB2312" w:cs="Times New Roman"/>
                <w:kern w:val="0"/>
                <w:sz w:val="24"/>
                <w:szCs w:val="20"/>
              </w:rPr>
              <w:t>度（%）</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17.5</w:t>
            </w:r>
          </w:p>
        </w:tc>
        <w:tc>
          <w:tcPr>
            <w:tcW w:w="1276"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eastAsia="zh-CN"/>
              </w:rPr>
              <w:t>—</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bl>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p>
    <w:p>
      <w:pPr>
        <w:spacing w:line="360" w:lineRule="auto"/>
        <w:ind w:firstLine="664" w:firstLineChars="200"/>
        <w:rPr>
          <w:rFonts w:ascii="仿宋_GB2312" w:eastAsia="仿宋_GB2312"/>
          <w:spacing w:val="6"/>
          <w:sz w:val="32"/>
          <w:szCs w:val="32"/>
        </w:rPr>
      </w:pPr>
    </w:p>
    <w:p>
      <w:pPr>
        <w:pStyle w:val="3"/>
        <w:spacing w:beforeLines="50" w:afterLines="50" w:line="360" w:lineRule="auto"/>
        <w:rPr>
          <w:rFonts w:ascii="Times New Roman" w:hAnsi="Times New Roman" w:eastAsia="华文中宋" w:cs="Times New Roman"/>
          <w:sz w:val="36"/>
          <w:szCs w:val="36"/>
        </w:rPr>
      </w:pPr>
      <w:bookmarkStart w:id="11" w:name="_Toc68698323"/>
      <w:r>
        <w:rPr>
          <w:rFonts w:hint="eastAsia" w:ascii="Times New Roman" w:hAnsi="Times New Roman" w:eastAsia="华文中宋" w:cs="Times New Roman"/>
          <w:sz w:val="36"/>
          <w:szCs w:val="36"/>
        </w:rPr>
        <w:t>第三章  优化商务发展新布局</w:t>
      </w:r>
      <w:bookmarkEnd w:id="11"/>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立足聊城市商务发展现状，遵循多规合一、协同发展的整体思路，优化商务发展布局，合理规划功能分区，实现统筹协调发展，分类推进、逐步发展、内涵提升，形成协调联动的空间格局。</w:t>
      </w:r>
    </w:p>
    <w:p>
      <w:pPr>
        <w:pStyle w:val="4"/>
        <w:spacing w:before="156" w:after="156" w:line="415" w:lineRule="auto"/>
        <w:jc w:val="center"/>
        <w:rPr>
          <w:rFonts w:ascii="楷体" w:hAnsi="楷体" w:eastAsia="楷体"/>
        </w:rPr>
      </w:pPr>
      <w:bookmarkStart w:id="12" w:name="_Toc68698324"/>
      <w:r>
        <w:rPr>
          <w:rFonts w:hint="eastAsia" w:ascii="楷体" w:hAnsi="楷体" w:eastAsia="楷体"/>
        </w:rPr>
        <w:t>第一节  空间布局</w:t>
      </w:r>
      <w:bookmarkEnd w:id="12"/>
    </w:p>
    <w:p>
      <w:pPr>
        <w:spacing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按照统筹区域发展和聚焦点上发力相结合原则，以构建商务集聚发展生态圈为导向，</w:t>
      </w:r>
      <w:r>
        <w:rPr>
          <w:rFonts w:hint="eastAsia" w:ascii="仿宋_GB2312" w:hAnsi="黑体" w:eastAsia="仿宋_GB2312"/>
          <w:sz w:val="32"/>
          <w:szCs w:val="32"/>
        </w:rPr>
        <w:t>着力打造“一核一圈”总体空间布局，</w:t>
      </w:r>
      <w:r>
        <w:rPr>
          <w:rFonts w:hint="eastAsia" w:ascii="仿宋_GB2312" w:hAnsi="Arial" w:eastAsia="仿宋_GB2312" w:cs="Arial"/>
          <w:sz w:val="32"/>
          <w:szCs w:val="32"/>
          <w:shd w:val="clear" w:color="auto" w:fill="FFFFFF"/>
        </w:rPr>
        <w:t>构建布局合理、错位发展、功能协调、良性互动的商务发展新格局。</w:t>
      </w:r>
    </w:p>
    <w:p>
      <w:pPr>
        <w:spacing w:line="360" w:lineRule="auto"/>
        <w:ind w:firstLine="643" w:firstLineChars="200"/>
        <w:rPr>
          <w:rFonts w:ascii="仿宋_GB2312" w:hAnsi="Arial" w:eastAsia="仿宋_GB2312" w:cs="Arial"/>
          <w:sz w:val="32"/>
          <w:szCs w:val="32"/>
          <w:shd w:val="clear" w:color="auto" w:fill="FFFFFF"/>
        </w:rPr>
      </w:pPr>
      <w:r>
        <w:rPr>
          <w:rFonts w:hint="eastAsia" w:ascii="仿宋_GB2312" w:hAnsi="黑体" w:eastAsia="仿宋_GB2312"/>
          <w:b/>
          <w:sz w:val="32"/>
          <w:szCs w:val="32"/>
        </w:rPr>
        <w:t>1.“一核”即城区发展核心。</w:t>
      </w:r>
      <w:r>
        <w:rPr>
          <w:rFonts w:hint="eastAsia" w:ascii="仿宋_GB2312" w:hAnsi="黑体" w:eastAsia="仿宋_GB2312"/>
          <w:sz w:val="32"/>
          <w:szCs w:val="32"/>
        </w:rPr>
        <w:t>集聚</w:t>
      </w:r>
      <w:r>
        <w:rPr>
          <w:rFonts w:hint="eastAsia" w:ascii="仿宋_GB2312" w:hAnsi="Arial" w:eastAsia="仿宋_GB2312" w:cs="Arial"/>
          <w:sz w:val="32"/>
          <w:szCs w:val="32"/>
          <w:shd w:val="clear" w:color="auto" w:fill="FFFFFF"/>
        </w:rPr>
        <w:t>聊城市商务发展所需的科技、智力、信息、资金等要素，依托聊城市新材料、高端装备制造、新能源汽车、医养健康等四大新兴产业，打造以科技研发服务为引领，集文化旅游、商业综合体、国际人才社区等为一体的现代商务发展核心区。</w:t>
      </w:r>
    </w:p>
    <w:p>
      <w:pPr>
        <w:spacing w:line="360" w:lineRule="auto"/>
        <w:ind w:firstLine="643" w:firstLineChars="200"/>
        <w:rPr>
          <w:rFonts w:ascii="仿宋_GB2312" w:hAnsi="黑体" w:eastAsia="仿宋_GB2312"/>
          <w:sz w:val="32"/>
          <w:szCs w:val="32"/>
        </w:rPr>
      </w:pPr>
      <w:r>
        <w:rPr>
          <w:rFonts w:hint="eastAsia" w:ascii="仿宋_GB2312" w:hAnsi="黑体" w:eastAsia="仿宋_GB2312"/>
          <w:b/>
          <w:sz w:val="32"/>
          <w:szCs w:val="32"/>
        </w:rPr>
        <w:t>2.“一圈”即环城发展圈。</w:t>
      </w:r>
      <w:r>
        <w:rPr>
          <w:rFonts w:hint="eastAsia" w:ascii="仿宋_GB2312" w:hAnsi="黑体" w:eastAsia="仿宋_GB2312"/>
          <w:sz w:val="32"/>
          <w:szCs w:val="32"/>
        </w:rPr>
        <w:t>围绕济青高速沿线发展带，按照“紧盯前沿、打造生态、沿链聚合、集群发展”理念，依托茌平、临清、冠县、莘县、阳谷、东阿、高唐等</w:t>
      </w:r>
      <w:r>
        <w:rPr>
          <w:rFonts w:hint="eastAsia" w:ascii="仿宋_GB2312" w:hAnsi="黑体" w:eastAsia="仿宋_GB2312"/>
          <w:sz w:val="32"/>
          <w:szCs w:val="32"/>
          <w:lang w:val="en-US" w:eastAsia="zh-CN"/>
        </w:rPr>
        <w:t>县（市、区）</w:t>
      </w:r>
      <w:r>
        <w:rPr>
          <w:rFonts w:hint="eastAsia" w:ascii="仿宋_GB2312" w:hAnsi="黑体" w:eastAsia="仿宋_GB2312"/>
          <w:sz w:val="32"/>
          <w:szCs w:val="32"/>
        </w:rPr>
        <w:t>，</w:t>
      </w:r>
      <w:r>
        <w:rPr>
          <w:rFonts w:hint="eastAsia" w:ascii="仿宋_GB2312" w:eastAsia="仿宋_GB2312"/>
          <w:spacing w:val="6"/>
          <w:sz w:val="32"/>
          <w:szCs w:val="32"/>
        </w:rPr>
        <w:t>重点提升、布局大型零售商业网点、休闲娱乐、商务办公、生活服务设施，建设大型零售商业网点、休闲娱乐、商务办公、文化会展、旅游商业服务、康养主题商业等设施，</w:t>
      </w:r>
      <w:r>
        <w:rPr>
          <w:rFonts w:hint="eastAsia" w:ascii="仿宋_GB2312" w:hAnsi="黑体" w:eastAsia="仿宋_GB2312"/>
          <w:sz w:val="32"/>
          <w:szCs w:val="32"/>
        </w:rPr>
        <w:t>完善环城发展圈。</w:t>
      </w:r>
    </w:p>
    <w:p>
      <w:pPr>
        <w:pStyle w:val="4"/>
        <w:spacing w:before="156" w:after="156" w:line="415" w:lineRule="auto"/>
        <w:jc w:val="center"/>
        <w:rPr>
          <w:rFonts w:ascii="楷体" w:hAnsi="楷体" w:eastAsia="楷体"/>
        </w:rPr>
      </w:pPr>
      <w:bookmarkStart w:id="13" w:name="_Toc68698325"/>
      <w:r>
        <w:rPr>
          <w:rFonts w:hint="eastAsia" w:ascii="楷体" w:hAnsi="楷体" w:eastAsia="楷体"/>
        </w:rPr>
        <w:t>第二节  商业布局</w:t>
      </w:r>
      <w:bookmarkEnd w:id="13"/>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推进聊城商业与城市主导产业相互渗透与融合，促进供给侧结构优化，充分发挥市场配置资源决定性作用，优化城市商业空间结构，引导城区商业功能区建设。进一步提升聊城在济南都市圈的能级，发挥毗邻京津冀都市圈优势，推动聊城与周边地区商业互融、互通，发挥聊城商业新动力、彰显聊城商业新风貌、打造聊城商业新格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1.商业发展空间结构。</w:t>
      </w:r>
      <w:r>
        <w:rPr>
          <w:rFonts w:hint="eastAsia" w:ascii="仿宋_GB2312" w:eastAsia="仿宋_GB2312"/>
          <w:spacing w:val="6"/>
          <w:sz w:val="32"/>
          <w:szCs w:val="32"/>
        </w:rPr>
        <w:t>构建与《聊城市城市总体规划（2014-2030年）》相适应的城市商业网点布局体系，实现中心城区商业网点科学布局、业态合理配置。聊城市中心城区形成“两轴一带、三核多区”的商业布局空间结构。“两轴”即东昌路商业发展轴、柳园路商业发展轴；“一带”即徒骇河休闲商业发展带；“三核”即聊城综合商贸核心区、西部新城商务商贸核心区和东部城区商贸核心区；“多区”即中部品质零售功能区、北部市场物流功能区、东部城区商贸服务功能区、南部特色商业功能区、西部新城商务商业功能区。</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2.商业中心布局。</w:t>
      </w:r>
      <w:r>
        <w:rPr>
          <w:rFonts w:hint="eastAsia" w:ascii="仿宋_GB2312" w:eastAsia="仿宋_GB2312"/>
          <w:spacing w:val="6"/>
          <w:sz w:val="32"/>
          <w:szCs w:val="32"/>
        </w:rPr>
        <w:t>中心城区形成“1主2副4片、1区、多点”的商业中心布局，实现城市由单中心向多中心格局发展。通过构建完善的商业中心体系，形成“日常生活不出社区、双休购物不出片区、时尚消费不出城区”的商贸服务环境。其中：“1主”即城市商业中心；“2副”即东部城区副城市商业中心、西部新城副城市商业中心；“4片”即柳园北片区商业中心、站东片区商业中心、望岳湖东片区商业中心、九州洼片区商业中心；“1区”即望岳湖主题商业区。“多点”即依据城市居住组团和人口分布规划布局多处社区商业中心。</w:t>
      </w:r>
    </w:p>
    <w:p>
      <w:pPr>
        <w:pStyle w:val="4"/>
        <w:spacing w:before="156" w:after="156" w:line="415" w:lineRule="auto"/>
        <w:jc w:val="center"/>
        <w:rPr>
          <w:rFonts w:ascii="楷体" w:hAnsi="楷体" w:eastAsia="楷体"/>
        </w:rPr>
      </w:pPr>
      <w:bookmarkStart w:id="14" w:name="_Toc68698326"/>
      <w:r>
        <w:rPr>
          <w:rFonts w:hint="eastAsia" w:ascii="楷体" w:hAnsi="楷体" w:eastAsia="楷体"/>
        </w:rPr>
        <w:t>第三节  对外开放布局</w:t>
      </w:r>
      <w:bookmarkEnd w:id="14"/>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“十四五”时期，聊城市立足经济社会发展实际，紧密结合我市对外开放的趋势和特点，</w:t>
      </w:r>
      <w:r>
        <w:rPr>
          <w:rFonts w:hint="eastAsia" w:ascii="仿宋_GB2312" w:eastAsia="仿宋_GB2312"/>
          <w:spacing w:val="6"/>
          <w:sz w:val="32"/>
          <w:szCs w:val="32"/>
          <w:lang w:val="en-US" w:eastAsia="zh-CN"/>
        </w:rPr>
        <w:t>因地制宜、</w:t>
      </w:r>
      <w:r>
        <w:rPr>
          <w:rFonts w:hint="eastAsia" w:ascii="仿宋_GB2312" w:eastAsia="仿宋_GB2312"/>
          <w:spacing w:val="6"/>
          <w:sz w:val="32"/>
          <w:szCs w:val="32"/>
        </w:rPr>
        <w:t>整合资源，积极打造“一城一点一区”的对外开放布局。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1.“一城”。</w:t>
      </w:r>
      <w:r>
        <w:rPr>
          <w:rFonts w:hint="eastAsia" w:ascii="仿宋_GB2312" w:eastAsia="仿宋_GB2312"/>
          <w:spacing w:val="6"/>
          <w:sz w:val="32"/>
          <w:szCs w:val="32"/>
        </w:rPr>
        <w:t>构建</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对外开放示范城。大力发展以机电、高新技术产品、矿石等产品为核心的贸易格局，推进线上线下并重，货物贸易和服务贸易并举，引导产业向数字化、高端化和国际化延伸。</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2.“一点”。</w:t>
      </w:r>
      <w:r>
        <w:rPr>
          <w:rFonts w:hint="eastAsia" w:ascii="仿宋_GB2312" w:eastAsia="仿宋_GB2312"/>
          <w:spacing w:val="6"/>
          <w:sz w:val="32"/>
          <w:szCs w:val="32"/>
        </w:rPr>
        <w:t>打造</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对外开放重要节点。进一步发挥聊城市在区位交通、土地资源、制造业等方面的优势，主动承接省城济南的产业和投资溢出，夯实作为鲁西大门的枢纽地位。</w:t>
      </w:r>
    </w:p>
    <w:p>
      <w:pPr>
        <w:spacing w:line="360" w:lineRule="auto"/>
        <w:ind w:firstLine="667"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b/>
          <w:spacing w:val="6"/>
          <w:sz w:val="32"/>
          <w:szCs w:val="32"/>
        </w:rPr>
        <w:t>3.“一区”。</w:t>
      </w:r>
      <w:r>
        <w:rPr>
          <w:rFonts w:hint="eastAsia" w:ascii="仿宋_GB2312" w:eastAsia="仿宋_GB2312"/>
          <w:b w:val="0"/>
          <w:bCs/>
          <w:color w:val="auto"/>
          <w:spacing w:val="6"/>
          <w:sz w:val="32"/>
          <w:szCs w:val="32"/>
          <w:lang w:val="en-US" w:eastAsia="zh-CN"/>
        </w:rPr>
        <w:t>培树</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电子商务集聚区。根据聊城市经济和城镇建设发展格局，结合区域产业基础和资源禀赋优势，建设产业引领、运行高效、功能错位、要素集聚、配套完善的电子商务集聚区，为聊城市及周边地区电子商务发展提供载体支撑。</w:t>
      </w:r>
    </w:p>
    <w:p>
      <w:pPr>
        <w:spacing w:line="360" w:lineRule="auto"/>
        <w:ind w:firstLine="480" w:firstLineChars="200"/>
        <w:rPr>
          <w:rFonts w:ascii="宋体" w:hAnsi="宋体"/>
          <w:color w:val="000000"/>
          <w:kern w:val="0"/>
          <w:sz w:val="24"/>
          <w:szCs w:val="24"/>
        </w:rPr>
      </w:pPr>
    </w:p>
    <w:p>
      <w:pPr>
        <w:pStyle w:val="3"/>
        <w:spacing w:beforeLines="50" w:afterLines="50" w:line="360" w:lineRule="auto"/>
        <w:rPr>
          <w:rFonts w:ascii="Times New Roman" w:hAnsi="Times New Roman" w:eastAsia="华文中宋" w:cs="Times New Roman"/>
          <w:sz w:val="36"/>
          <w:szCs w:val="36"/>
        </w:rPr>
      </w:pPr>
      <w:bookmarkStart w:id="15" w:name="_Toc68698327"/>
      <w:r>
        <w:rPr>
          <w:rFonts w:hint="eastAsia" w:ascii="Times New Roman" w:hAnsi="Times New Roman" w:eastAsia="华文中宋" w:cs="Times New Roman"/>
          <w:sz w:val="36"/>
          <w:szCs w:val="36"/>
        </w:rPr>
        <w:t>第四章  抓牢商务发展重点任务</w:t>
      </w:r>
      <w:bookmarkEnd w:id="15"/>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按照加快质量变革、效率变革、动力变革的转型要求，明确</w:t>
      </w:r>
      <w:r>
        <w:rPr>
          <w:rFonts w:hint="eastAsia" w:ascii="仿宋_GB2312" w:eastAsia="仿宋_GB2312"/>
          <w:spacing w:val="6"/>
          <w:sz w:val="32"/>
          <w:szCs w:val="32"/>
        </w:rPr>
        <w:t>聊城市商务</w:t>
      </w:r>
      <w:r>
        <w:rPr>
          <w:rFonts w:ascii="仿宋_GB2312" w:eastAsia="仿宋_GB2312"/>
          <w:spacing w:val="6"/>
          <w:sz w:val="32"/>
          <w:szCs w:val="32"/>
        </w:rPr>
        <w:t>发展的战略任务、发展方向及实现路径，</w:t>
      </w:r>
      <w:r>
        <w:rPr>
          <w:rFonts w:hint="eastAsia" w:ascii="仿宋_GB2312" w:eastAsia="仿宋_GB2312"/>
          <w:spacing w:val="6"/>
          <w:sz w:val="32"/>
          <w:szCs w:val="32"/>
        </w:rPr>
        <w:t>落实商贸流通、消费创新、培育外贸、利用外资、走出去、对外开放、服务贸易、数字商务等任务，培育聊城市商务发展新动能。</w:t>
      </w:r>
    </w:p>
    <w:p>
      <w:pPr>
        <w:pStyle w:val="4"/>
        <w:spacing w:before="156" w:after="156" w:line="415" w:lineRule="auto"/>
        <w:jc w:val="center"/>
        <w:rPr>
          <w:rFonts w:ascii="楷体" w:hAnsi="楷体" w:eastAsia="楷体"/>
        </w:rPr>
      </w:pPr>
      <w:bookmarkStart w:id="16" w:name="_Toc68698328"/>
      <w:r>
        <w:rPr>
          <w:rFonts w:hint="eastAsia" w:ascii="楷体" w:hAnsi="楷体" w:eastAsia="楷体"/>
        </w:rPr>
        <w:t>第一节  商贸流通高质量发展</w:t>
      </w:r>
      <w:bookmarkEnd w:id="16"/>
    </w:p>
    <w:p>
      <w:pPr>
        <w:spacing w:line="360" w:lineRule="auto"/>
        <w:ind w:firstLine="667" w:firstLineChars="200"/>
        <w:rPr>
          <w:rFonts w:ascii="仿宋_GB2312" w:eastAsia="仿宋_GB2312"/>
          <w:b/>
          <w:spacing w:val="6"/>
          <w:sz w:val="32"/>
          <w:szCs w:val="32"/>
        </w:rPr>
      </w:pPr>
      <w:bookmarkStart w:id="17" w:name="_Hlk44671578"/>
      <w:r>
        <w:rPr>
          <w:rFonts w:hint="eastAsia" w:ascii="仿宋_GB2312" w:eastAsia="仿宋_GB2312"/>
          <w:b/>
          <w:spacing w:val="6"/>
          <w:sz w:val="32"/>
          <w:szCs w:val="32"/>
        </w:rPr>
        <w:t>1.提升商贸服务能级水平。</w:t>
      </w:r>
      <w:r>
        <w:rPr>
          <w:rFonts w:hint="eastAsia" w:ascii="仿宋_GB2312" w:eastAsia="仿宋_GB2312"/>
          <w:spacing w:val="6"/>
          <w:sz w:val="32"/>
          <w:szCs w:val="32"/>
        </w:rPr>
        <w:t>以深度融入省会城市圈为核心，打造新型商务发展引领区和现代商贸服务重要节点。培育一批龙头商贸服务企业和连锁经营企业，重点发展一批区域性市场、专业市场、特色商业街区，完善社区商业服务网络。推动大型购物广场转型升级，扶持品牌专卖店发展，建设符合聊城消费需求的特色商业街，提升商业业态层次。推进农贸市场、集贸市场、标准化菜市场的升级改造建设工程、农超对接工程等民生工程建设。规范住宿、餐饮、洗染、再生资源等行业健康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2.推动商贸服务业质量提升</w:t>
      </w:r>
      <w:bookmarkEnd w:id="17"/>
      <w:r>
        <w:rPr>
          <w:rFonts w:hint="eastAsia" w:ascii="仿宋_GB2312" w:eastAsia="仿宋_GB2312"/>
          <w:b/>
          <w:spacing w:val="6"/>
          <w:sz w:val="32"/>
          <w:szCs w:val="32"/>
        </w:rPr>
        <w:t>。</w:t>
      </w:r>
      <w:r>
        <w:rPr>
          <w:rFonts w:hint="eastAsia" w:ascii="仿宋_GB2312" w:eastAsia="仿宋_GB2312"/>
          <w:spacing w:val="6"/>
          <w:sz w:val="32"/>
          <w:szCs w:val="32"/>
        </w:rPr>
        <w:t>鼓励发展城乡便民服务中心建设，加强社区家政、餐饮、住宿等商贸服务业高品质发展，推动服务内容精细、服务质量优良、服务模式创新。加快完善商贸服务业制度、标准体系，重点规范商贸服务企业经营行为、建立市场化综合信用评价机制。鼓励商贸服务企业以连锁经营、加盟经营、特许经营等方式，整合服务资源、扩大服务规模、增加服务网点、建立服务网络。</w:t>
      </w:r>
      <w:r>
        <w:rPr>
          <w:rFonts w:hint="eastAsia" w:ascii="仿宋_GB2312" w:eastAsia="仿宋_GB2312"/>
          <w:bCs/>
          <w:kern w:val="0"/>
          <w:sz w:val="32"/>
          <w:szCs w:val="32"/>
        </w:rPr>
        <w:t>加快家政</w:t>
      </w:r>
      <w:r>
        <w:rPr>
          <w:rFonts w:hint="eastAsia" w:ascii="仿宋_GB2312" w:eastAsia="仿宋_GB2312"/>
          <w:bCs/>
          <w:kern w:val="0"/>
          <w:sz w:val="32"/>
          <w:szCs w:val="32"/>
          <w:lang w:val="en-US" w:eastAsia="zh-CN"/>
        </w:rPr>
        <w:t>信</w:t>
      </w:r>
      <w:r>
        <w:rPr>
          <w:rFonts w:hint="eastAsia" w:ascii="仿宋_GB2312" w:eastAsia="仿宋_GB2312"/>
          <w:bCs/>
          <w:kern w:val="0"/>
          <w:sz w:val="32"/>
          <w:szCs w:val="32"/>
        </w:rPr>
        <w:t>用体系建设步伐，</w:t>
      </w:r>
      <w:r>
        <w:rPr>
          <w:rFonts w:ascii="仿宋_GB2312" w:eastAsia="仿宋_GB2312"/>
          <w:kern w:val="0"/>
          <w:sz w:val="32"/>
          <w:szCs w:val="32"/>
        </w:rPr>
        <w:t>推进</w:t>
      </w:r>
      <w:r>
        <w:rPr>
          <w:rFonts w:hint="eastAsia" w:ascii="仿宋_GB2312" w:eastAsia="仿宋_GB2312"/>
          <w:kern w:val="0"/>
          <w:sz w:val="32"/>
          <w:szCs w:val="32"/>
        </w:rPr>
        <w:t>“</w:t>
      </w:r>
      <w:r>
        <w:rPr>
          <w:rFonts w:ascii="仿宋_GB2312" w:eastAsia="仿宋_GB2312"/>
          <w:kern w:val="0"/>
          <w:sz w:val="32"/>
          <w:szCs w:val="32"/>
        </w:rPr>
        <w:t>便利消费进社区、便民服务进家庭</w:t>
      </w:r>
      <w:r>
        <w:rPr>
          <w:rFonts w:hint="eastAsia" w:ascii="仿宋_GB2312" w:eastAsia="仿宋_GB2312"/>
          <w:kern w:val="0"/>
          <w:sz w:val="32"/>
          <w:szCs w:val="32"/>
        </w:rPr>
        <w:t>”</w:t>
      </w:r>
      <w:r>
        <w:rPr>
          <w:rFonts w:ascii="仿宋_GB2312" w:eastAsia="仿宋_GB2312"/>
          <w:kern w:val="0"/>
          <w:sz w:val="32"/>
          <w:szCs w:val="32"/>
        </w:rPr>
        <w:t>,</w:t>
      </w:r>
      <w:r>
        <w:rPr>
          <w:rFonts w:hint="eastAsia" w:ascii="仿宋_GB2312" w:eastAsia="仿宋_GB2312"/>
          <w:kern w:val="0"/>
          <w:sz w:val="32"/>
          <w:szCs w:val="32"/>
        </w:rPr>
        <w:t>加快</w:t>
      </w:r>
      <w:r>
        <w:rPr>
          <w:rFonts w:ascii="仿宋_GB2312" w:eastAsia="仿宋_GB2312"/>
          <w:kern w:val="0"/>
          <w:sz w:val="32"/>
          <w:szCs w:val="32"/>
        </w:rPr>
        <w:t>建设社区便利店、家政服务站等生活网点</w:t>
      </w:r>
      <w:r>
        <w:rPr>
          <w:rFonts w:hint="eastAsia" w:ascii="仿宋_GB2312" w:eastAsia="仿宋_GB2312"/>
          <w:kern w:val="0"/>
          <w:sz w:val="32"/>
          <w:szCs w:val="32"/>
        </w:rPr>
        <w:t>；发展社区团购，</w:t>
      </w:r>
      <w:r>
        <w:rPr>
          <w:rFonts w:hint="eastAsia" w:ascii="仿宋_GB2312" w:hAnsi="仿宋_GB2312" w:eastAsia="仿宋_GB2312" w:cs="仿宋_GB2312"/>
          <w:bCs/>
          <w:kern w:val="0"/>
          <w:sz w:val="32"/>
          <w:szCs w:val="32"/>
        </w:rPr>
        <w:t>促进无接触配送等新模式、新业态发展。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3.促进智慧物流创新发展。</w:t>
      </w:r>
      <w:bookmarkStart w:id="18" w:name="_Toc448379969"/>
      <w:r>
        <w:rPr>
          <w:rFonts w:hint="eastAsia" w:ascii="仿宋_GB2312" w:hAnsi="仿宋_GB2312" w:eastAsia="仿宋_GB2312" w:cs="仿宋_GB2312"/>
          <w:color w:val="000000"/>
          <w:sz w:val="32"/>
          <w:szCs w:val="32"/>
        </w:rPr>
        <w:t>积极推动交通运输、仓储配送、快递物流、设施设备等物流领域的标准化建设，以标准化托盘循环利用为突破口，结合聊城市特色资源基础，重点开展特色农副产品物流、电子商务物流等各领域物流装备的标准化进程。依托各大物流园区、物流中心的建设，以物流信息化为主要方向，构建区域性物流公共信息平台，实现对物流链全过程的定位、跟踪、监控、管理；建设智慧物流监控指挥和演示中心，形成聊城市智慧物流服务系统，并为区域物流提供服务支撑，构建区域性智慧物流服务。</w:t>
      </w:r>
      <w:bookmarkEnd w:id="18"/>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shd w:val="clear" w:color="auto" w:fill="D8D8D8" w:themeFill="background1" w:themeFillShade="D9"/>
          </w:tcPr>
          <w:p>
            <w:pPr>
              <w:spacing w:line="360" w:lineRule="auto"/>
              <w:jc w:val="center"/>
              <w:rPr>
                <w:rFonts w:ascii="仿宋_GB2312" w:hAnsi="Times New Roman" w:eastAsia="仿宋_GB2312" w:cs="Times New Roman"/>
                <w:b/>
                <w:spacing w:val="6"/>
                <w:kern w:val="0"/>
                <w:sz w:val="32"/>
                <w:szCs w:val="32"/>
              </w:rPr>
            </w:pPr>
            <w:r>
              <w:rPr>
                <w:rFonts w:hint="eastAsia" w:ascii="仿宋_GB2312" w:hAnsi="Times New Roman" w:eastAsia="仿宋_GB2312" w:cs="Times New Roman"/>
                <w:b/>
                <w:spacing w:val="6"/>
                <w:kern w:val="0"/>
                <w:sz w:val="32"/>
                <w:szCs w:val="32"/>
              </w:rPr>
              <w:t>专栏  商贸流通重点项目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F1F1F1" w:themeFill="background1" w:themeFillShade="F2"/>
          </w:tcPr>
          <w:p>
            <w:pPr>
              <w:numPr>
                <w:ilvl w:val="0"/>
                <w:numId w:val="1"/>
              </w:numPr>
              <w:spacing w:line="360" w:lineRule="auto"/>
              <w:ind w:firstLine="482" w:firstLineChars="200"/>
              <w:rPr>
                <w:rFonts w:hint="eastAsia" w:ascii="仿宋_GB2312" w:hAnsi="仿宋_GB2312" w:eastAsia="仿宋_GB2312" w:cs="Times New Roman"/>
                <w:bCs/>
                <w:kern w:val="0"/>
                <w:sz w:val="24"/>
                <w:szCs w:val="24"/>
              </w:rPr>
            </w:pPr>
            <w:r>
              <w:rPr>
                <w:rFonts w:hint="eastAsia" w:ascii="仿宋_GB2312" w:hAnsi="仿宋_GB2312" w:eastAsia="仿宋_GB2312" w:cs="Times New Roman"/>
                <w:b/>
                <w:bCs/>
                <w:kern w:val="0"/>
                <w:sz w:val="24"/>
                <w:szCs w:val="24"/>
              </w:rPr>
              <w:t>国家级</w:t>
            </w:r>
            <w:r>
              <w:rPr>
                <w:rFonts w:ascii="仿宋_GB2312" w:hAnsi="仿宋_GB2312" w:eastAsia="仿宋_GB2312" w:cs="Times New Roman"/>
                <w:b/>
                <w:bCs/>
                <w:kern w:val="0"/>
                <w:sz w:val="24"/>
                <w:szCs w:val="24"/>
              </w:rPr>
              <w:t>电子商务</w:t>
            </w:r>
            <w:r>
              <w:rPr>
                <w:rFonts w:hint="eastAsia" w:ascii="仿宋_GB2312" w:hAnsi="仿宋_GB2312" w:eastAsia="仿宋_GB2312" w:cs="Times New Roman"/>
                <w:b/>
                <w:bCs/>
                <w:kern w:val="0"/>
                <w:sz w:val="24"/>
                <w:szCs w:val="24"/>
              </w:rPr>
              <w:t>进农村综合示范项目</w:t>
            </w:r>
            <w:r>
              <w:rPr>
                <w:rFonts w:ascii="仿宋_GB2312" w:hAnsi="仿宋_GB2312" w:eastAsia="仿宋_GB2312" w:cs="Times New Roman"/>
                <w:b/>
                <w:bCs/>
                <w:kern w:val="0"/>
                <w:sz w:val="24"/>
                <w:szCs w:val="24"/>
              </w:rPr>
              <w:t>。</w:t>
            </w:r>
            <w:r>
              <w:rPr>
                <w:rFonts w:hint="eastAsia" w:ascii="仿宋_GB2312" w:hAnsi="仿宋_GB2312" w:eastAsia="仿宋_GB2312" w:cs="仿宋_GB2312"/>
                <w:kern w:val="0"/>
                <w:sz w:val="24"/>
                <w:szCs w:val="24"/>
              </w:rPr>
              <w:t>以</w:t>
            </w:r>
            <w:r>
              <w:rPr>
                <w:rFonts w:hint="eastAsia" w:ascii="仿宋_GB2312" w:hAnsi="仿宋_GB2312" w:eastAsia="仿宋_GB2312" w:cs="仿宋_GB2312"/>
                <w:bCs/>
                <w:kern w:val="0"/>
                <w:sz w:val="24"/>
                <w:szCs w:val="24"/>
              </w:rPr>
              <w:t>莘</w:t>
            </w:r>
            <w:r>
              <w:rPr>
                <w:rFonts w:hint="eastAsia" w:ascii="仿宋_GB2312" w:hAnsi="仿宋_GB2312" w:eastAsia="仿宋_GB2312" w:cs="Times New Roman"/>
                <w:bCs/>
                <w:kern w:val="0"/>
                <w:sz w:val="24"/>
                <w:szCs w:val="24"/>
              </w:rPr>
              <w:t>县、冠县两个国家级电子商务进农村综合示范县建设项目为抓手，加强农村流通设施建设，提升公共服务水平， 促进产销对接，探索数据驱动，打造综合示范“升级版”，构建普惠共享、线上线下融合、工业品下乡和农产品进城畅通的 农村现代流通体系。</w:t>
            </w:r>
          </w:p>
          <w:p>
            <w:pPr>
              <w:pStyle w:val="2"/>
              <w:numPr>
                <w:ilvl w:val="0"/>
                <w:numId w:val="0"/>
              </w:numPr>
              <w:rPr>
                <w:rFonts w:hint="default" w:eastAsia="宋体"/>
                <w:lang w:val="en-US" w:eastAsia="zh-CN"/>
              </w:rPr>
            </w:pPr>
            <w:r>
              <w:rPr>
                <w:rFonts w:hint="eastAsia"/>
                <w:lang w:val="en-US" w:eastAsia="zh-CN"/>
              </w:rPr>
              <w:t xml:space="preserve">    </w:t>
            </w:r>
          </w:p>
          <w:p>
            <w:pPr>
              <w:spacing w:line="360" w:lineRule="auto"/>
              <w:ind w:firstLine="482" w:firstLineChars="200"/>
            </w:pPr>
            <w:r>
              <w:rPr>
                <w:rFonts w:hint="eastAsia" w:ascii="仿宋_GB2312" w:hAnsi="仿宋_GB2312" w:eastAsia="仿宋_GB2312" w:cs="Times New Roman"/>
                <w:b/>
                <w:bCs/>
                <w:kern w:val="0"/>
                <w:sz w:val="24"/>
                <w:szCs w:val="24"/>
              </w:rPr>
              <w:t>2.步行街改造提升项目</w:t>
            </w:r>
            <w:r>
              <w:rPr>
                <w:rFonts w:ascii="仿宋_GB2312" w:hAnsi="仿宋_GB2312" w:eastAsia="仿宋_GB2312" w:cs="Times New Roman"/>
                <w:b/>
                <w:bCs/>
                <w:kern w:val="0"/>
                <w:sz w:val="24"/>
                <w:szCs w:val="24"/>
              </w:rPr>
              <w:t>。</w:t>
            </w:r>
            <w:r>
              <w:rPr>
                <w:rFonts w:hint="eastAsia" w:ascii="仿宋_GB2312" w:hAnsi="仿宋_GB2312" w:eastAsia="仿宋_GB2312" w:cs="Times New Roman"/>
                <w:bCs/>
                <w:kern w:val="0"/>
                <w:sz w:val="24"/>
                <w:szCs w:val="24"/>
              </w:rPr>
              <w:t>以</w:t>
            </w:r>
            <w:r>
              <w:rPr>
                <w:rFonts w:hint="eastAsia" w:ascii="仿宋_GB2312" w:hAnsi="仿宋_GB2312" w:eastAsia="仿宋_GB2312" w:cs="仿宋_GB2312"/>
                <w:color w:val="000000" w:themeColor="text1"/>
                <w:kern w:val="0"/>
                <w:sz w:val="24"/>
                <w:szCs w:val="24"/>
                <w14:textFill>
                  <w14:solidFill>
                    <w14:schemeClr w14:val="tx1"/>
                  </w14:solidFill>
                </w14:textFill>
              </w:rPr>
              <w:t>省级第二批试点步行街项目——江北水城欢乐小镇商业步行街“聊街”建设改造提升项目为引领，在</w:t>
            </w:r>
            <w:r>
              <w:rPr>
                <w:rFonts w:hint="eastAsia" w:ascii="仿宋_GB2312" w:hAnsi="仿宋_GB2312" w:eastAsia="仿宋_GB2312" w:cs="仿宋_GB2312"/>
                <w:kern w:val="0"/>
                <w:sz w:val="24"/>
                <w:szCs w:val="24"/>
              </w:rPr>
              <w:t>各县（市、区）、市属开发区建设培育步行街或特色商业街，重点打造市级示范步行街。</w:t>
            </w:r>
          </w:p>
          <w:p>
            <w:pPr>
              <w:spacing w:line="360" w:lineRule="auto"/>
              <w:ind w:firstLine="482" w:firstLineChars="200"/>
              <w:rPr>
                <w:rFonts w:ascii="仿宋_GB2312" w:hAnsi="Times New Roman" w:eastAsia="仿宋_GB2312" w:cs="Times New Roman"/>
                <w:spacing w:val="6"/>
                <w:kern w:val="0"/>
                <w:sz w:val="32"/>
                <w:szCs w:val="32"/>
              </w:rPr>
            </w:pPr>
            <w:r>
              <w:rPr>
                <w:rFonts w:hint="eastAsia" w:ascii="仿宋_GB2312" w:hAnsi="仿宋_GB2312" w:eastAsia="仿宋_GB2312" w:cs="Times New Roman"/>
                <w:b/>
                <w:bCs/>
                <w:kern w:val="0"/>
                <w:sz w:val="24"/>
                <w:szCs w:val="24"/>
              </w:rPr>
              <w:t>3.家政信用体系建设项目。</w:t>
            </w:r>
            <w:r>
              <w:rPr>
                <w:rFonts w:hint="eastAsia" w:ascii="仿宋_GB2312" w:hAnsi="仿宋_GB2312" w:eastAsia="仿宋_GB2312" w:cs="Times New Roman"/>
                <w:bCs/>
                <w:kern w:val="0"/>
                <w:sz w:val="24"/>
                <w:szCs w:val="24"/>
              </w:rPr>
              <w:t>深入</w:t>
            </w:r>
            <w:r>
              <w:rPr>
                <w:rFonts w:hint="eastAsia" w:ascii="仿宋_GB2312" w:hAnsi="仿宋_GB2312" w:eastAsia="仿宋_GB2312" w:cs="仿宋_GB2312"/>
                <w:color w:val="000000" w:themeColor="text1"/>
                <w:kern w:val="0"/>
                <w:sz w:val="24"/>
                <w:szCs w:val="24"/>
                <w14:textFill>
                  <w14:solidFill>
                    <w14:schemeClr w14:val="tx1"/>
                  </w14:solidFill>
                </w14:textFill>
              </w:rPr>
              <w:t>贯彻落实《国务院办公厅关于促进家政服务业提质扩容的意见》、《关于建立家政服务业信用体系建设的指导意见》等文件精神，加快推进我市家政服务业信用体系建设，进一步规范家政服务业发展，</w:t>
            </w:r>
            <w:r>
              <w:rPr>
                <w:rFonts w:hint="eastAsia" w:ascii="仿宋_GB2312" w:hAnsi="Times New Roman" w:eastAsia="仿宋_GB2312" w:cs="Times New Roman"/>
                <w:kern w:val="0"/>
                <w:sz w:val="24"/>
                <w:szCs w:val="24"/>
              </w:rPr>
              <w:t>指导重点家政企业完成在商务部家政业务平台上为家政服务员建立信用记录，实现</w:t>
            </w:r>
            <w:r>
              <w:rPr>
                <w:rFonts w:hint="eastAsia" w:ascii="仿宋_GB2312" w:hAnsi="Times New Roman" w:eastAsia="仿宋_GB2312" w:cs="Times New Roman"/>
                <w:kern w:val="0"/>
                <w:sz w:val="24"/>
                <w:szCs w:val="24"/>
                <w:lang w:val="en-US" w:eastAsia="zh-CN"/>
              </w:rPr>
              <w:t>人</w:t>
            </w:r>
            <w:r>
              <w:rPr>
                <w:rFonts w:hint="eastAsia" w:ascii="仿宋_GB2312" w:hAnsi="Times New Roman" w:eastAsia="仿宋_GB2312" w:cs="Times New Roman"/>
                <w:kern w:val="0"/>
                <w:sz w:val="24"/>
                <w:szCs w:val="24"/>
              </w:rPr>
              <w:t>证合一。</w:t>
            </w:r>
          </w:p>
        </w:tc>
      </w:tr>
    </w:tbl>
    <w:p>
      <w:pPr>
        <w:spacing w:line="360" w:lineRule="auto"/>
        <w:ind w:firstLine="664" w:firstLineChars="200"/>
        <w:rPr>
          <w:rFonts w:ascii="仿宋_GB2312" w:eastAsia="仿宋_GB2312"/>
          <w:spacing w:val="6"/>
          <w:sz w:val="32"/>
          <w:szCs w:val="32"/>
        </w:rPr>
      </w:pPr>
    </w:p>
    <w:p>
      <w:pPr>
        <w:pStyle w:val="4"/>
        <w:spacing w:before="156" w:after="156" w:line="415" w:lineRule="auto"/>
        <w:jc w:val="center"/>
        <w:rPr>
          <w:rFonts w:ascii="楷体" w:hAnsi="楷体" w:eastAsia="楷体"/>
        </w:rPr>
      </w:pPr>
      <w:bookmarkStart w:id="19" w:name="_Toc68698329"/>
      <w:r>
        <w:rPr>
          <w:rFonts w:hint="eastAsia" w:ascii="楷体" w:hAnsi="楷体" w:eastAsia="楷体"/>
        </w:rPr>
        <w:t>第二节  提升消费创新引领能力</w:t>
      </w:r>
      <w:bookmarkEnd w:id="19"/>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鼓励企业运用现代信息技术，发展新业态、探索新模式，推动实体商业转型升级。引导传统商业转型升级，促进线上线下融合发展。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1.丰富消费业态。</w:t>
      </w:r>
      <w:r>
        <w:rPr>
          <w:rFonts w:ascii="仿宋_GB2312" w:eastAsia="仿宋_GB2312"/>
          <w:spacing w:val="6"/>
          <w:sz w:val="32"/>
          <w:szCs w:val="32"/>
        </w:rPr>
        <w:t>大力培育新一代消费热点，加快实物消费、服务消费提质升级，适当增加公共消费，促进消费向绿色、健康、安全</w:t>
      </w:r>
      <w:r>
        <w:rPr>
          <w:rFonts w:hint="eastAsia" w:ascii="仿宋_GB2312" w:eastAsia="仿宋_GB2312"/>
          <w:spacing w:val="6"/>
          <w:sz w:val="32"/>
          <w:szCs w:val="32"/>
        </w:rPr>
        <w:t>方向</w:t>
      </w:r>
      <w:r>
        <w:rPr>
          <w:rFonts w:ascii="仿宋_GB2312" w:eastAsia="仿宋_GB2312"/>
          <w:spacing w:val="6"/>
          <w:sz w:val="32"/>
          <w:szCs w:val="32"/>
        </w:rPr>
        <w:t>发展。</w:t>
      </w:r>
      <w:r>
        <w:rPr>
          <w:rFonts w:hint="eastAsia" w:ascii="仿宋_GB2312" w:eastAsia="仿宋_GB2312"/>
          <w:spacing w:val="6"/>
          <w:sz w:val="32"/>
          <w:szCs w:val="32"/>
        </w:rPr>
        <w:t>加强与消费领域知名创新型企业对接，引导其在我市布局新零售项目，打造一批有一定影响力的智慧商圈（街）、商店和集市。鼓励名牌、老字号、名小吃餐饮企业发展连锁经营，做强一批跨区域品牌餐饮连锁企业。</w:t>
      </w:r>
      <w:r>
        <w:rPr>
          <w:rFonts w:ascii="仿宋_GB2312" w:eastAsia="仿宋_GB2312"/>
          <w:spacing w:val="6"/>
          <w:sz w:val="32"/>
          <w:szCs w:val="32"/>
        </w:rPr>
        <w:t>推动线上线下消费有机融合、双向提速，鼓励发展新零售、</w:t>
      </w:r>
      <w:r>
        <w:rPr>
          <w:rFonts w:hint="eastAsia" w:ascii="仿宋_GB2312" w:eastAsia="仿宋_GB2312"/>
          <w:spacing w:val="6"/>
          <w:sz w:val="32"/>
          <w:szCs w:val="32"/>
        </w:rPr>
        <w:t>社区</w:t>
      </w:r>
      <w:r>
        <w:rPr>
          <w:rFonts w:ascii="仿宋_GB2312" w:eastAsia="仿宋_GB2312"/>
          <w:spacing w:val="6"/>
          <w:sz w:val="32"/>
          <w:szCs w:val="32"/>
        </w:rPr>
        <w:t>经济等新业态新模式，培育新型消费示范企业。</w:t>
      </w:r>
      <w:r>
        <w:rPr>
          <w:rFonts w:hint="eastAsia" w:ascii="仿宋_GB2312" w:eastAsia="仿宋_GB2312"/>
          <w:spacing w:val="6"/>
          <w:sz w:val="32"/>
          <w:szCs w:val="32"/>
        </w:rPr>
        <w:t>开展日用消费品、农资下乡和农产品进城双向配送，鼓励电商企业与快递公司开展合作，打通农产品上行“最先一公里”和工业品下行“最后一公里”，更好满足城乡居民生产生活需求。</w:t>
      </w:r>
      <w:r>
        <w:rPr>
          <w:rFonts w:ascii="仿宋_GB2312" w:eastAsia="仿宋_GB2312"/>
          <w:spacing w:val="6"/>
          <w:sz w:val="32"/>
          <w:szCs w:val="32"/>
        </w:rPr>
        <w:t>推动汽车等消费品由购买管理向使用管理转变，促进住房消费健康发展。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w:t>
      </w:r>
      <w:r>
        <w:rPr>
          <w:rFonts w:hint="eastAsia" w:ascii="仿宋_GB2312" w:eastAsia="仿宋_GB2312"/>
          <w:b/>
          <w:spacing w:val="6"/>
          <w:sz w:val="32"/>
          <w:szCs w:val="32"/>
          <w:lang w:val="en-US" w:eastAsia="zh-CN"/>
        </w:rPr>
        <w:t>提升</w:t>
      </w:r>
      <w:r>
        <w:rPr>
          <w:rFonts w:hint="eastAsia" w:ascii="仿宋_GB2312" w:eastAsia="仿宋_GB2312"/>
          <w:b/>
          <w:spacing w:val="6"/>
          <w:sz w:val="32"/>
          <w:szCs w:val="32"/>
        </w:rPr>
        <w:t>品质消费。</w:t>
      </w:r>
      <w:r>
        <w:rPr>
          <w:rFonts w:hint="eastAsia" w:ascii="仿宋_GB2312" w:eastAsia="仿宋_GB2312"/>
          <w:spacing w:val="6"/>
          <w:sz w:val="32"/>
          <w:szCs w:val="32"/>
        </w:rPr>
        <w:t>组织实施促消费系列活动，</w:t>
      </w:r>
      <w:r>
        <w:rPr>
          <w:rFonts w:hint="eastAsia" w:ascii="仿宋_GB2312" w:eastAsia="仿宋_GB2312"/>
          <w:spacing w:val="6"/>
          <w:sz w:val="32"/>
          <w:szCs w:val="32"/>
          <w:lang w:val="en-US" w:eastAsia="zh-CN"/>
        </w:rPr>
        <w:t>培育</w:t>
      </w:r>
      <w:r>
        <w:rPr>
          <w:rFonts w:hint="eastAsia" w:ascii="仿宋_GB2312" w:eastAsia="仿宋_GB2312"/>
          <w:spacing w:val="6"/>
          <w:sz w:val="32"/>
          <w:szCs w:val="32"/>
        </w:rPr>
        <w:t>一批地方特色鲜明、影响力明显的餐饮名师、名菜、名店。鼓励特色餐饮企业通过参加美食节、展会等方式，大力推广聊城地方餐饮品牌。支持企业强化营养健康新产品、新口味、新服务研发，形成多层次立体发展的品牌体系。建立健全行业监管和诚信体系，培育家政服务龙头企业，促进全市家政行业规范化发展。积极推动对老字号的挖掘保护和传承创新发展，引导老字号企业创新营销方式，增强品牌核心价值，焕发新的生机。</w:t>
      </w:r>
    </w:p>
    <w:p>
      <w:pPr>
        <w:spacing w:line="360" w:lineRule="auto"/>
        <w:ind w:firstLine="667" w:firstLineChars="200"/>
        <w:rPr>
          <w:rFonts w:ascii="仿宋_GB2312" w:hAnsi="Calibri" w:eastAsia="仿宋_GB2312" w:cs="Times New Roman"/>
          <w:spacing w:val="6"/>
          <w:sz w:val="32"/>
          <w:szCs w:val="32"/>
        </w:rPr>
      </w:pPr>
      <w:r>
        <w:rPr>
          <w:rFonts w:hint="eastAsia" w:ascii="仿宋_GB2312" w:eastAsia="仿宋_GB2312"/>
          <w:b/>
          <w:spacing w:val="6"/>
          <w:sz w:val="32"/>
          <w:szCs w:val="32"/>
        </w:rPr>
        <w:t>3.</w:t>
      </w:r>
      <w:r>
        <w:rPr>
          <w:rFonts w:hint="eastAsia" w:ascii="仿宋_GB2312" w:eastAsia="仿宋_GB2312"/>
          <w:b/>
          <w:spacing w:val="6"/>
          <w:sz w:val="32"/>
          <w:szCs w:val="32"/>
          <w:lang w:val="en-US" w:eastAsia="zh-CN"/>
        </w:rPr>
        <w:t>扩大</w:t>
      </w:r>
      <w:r>
        <w:rPr>
          <w:rFonts w:hint="eastAsia" w:ascii="仿宋_GB2312" w:eastAsia="仿宋_GB2312"/>
          <w:b/>
          <w:spacing w:val="6"/>
          <w:sz w:val="32"/>
          <w:szCs w:val="32"/>
        </w:rPr>
        <w:t>汽车消费规模。</w:t>
      </w:r>
      <w:r>
        <w:rPr>
          <w:rFonts w:hint="eastAsia" w:ascii="仿宋_GB2312" w:hAnsi="Calibri" w:eastAsia="仿宋_GB2312" w:cs="Times New Roman"/>
          <w:spacing w:val="6"/>
          <w:sz w:val="32"/>
          <w:szCs w:val="32"/>
        </w:rPr>
        <w:t>稳定和扩大汽车消费，促进汽车消费优化升级，鼓励发展共享型、节约型、社会化的汽车流通体系。规范二手车市场，维护二手车市场秩序，推动二手车流通行业健康有序发展。加强监管，严格市场准入，引导报废机动车回收拆解行业有序发展，促进机动车报废更新。</w:t>
      </w:r>
    </w:p>
    <w:p>
      <w:pPr>
        <w:pStyle w:val="4"/>
        <w:spacing w:before="156" w:after="156" w:line="415" w:lineRule="auto"/>
        <w:jc w:val="center"/>
        <w:rPr>
          <w:rFonts w:ascii="楷体" w:hAnsi="楷体" w:eastAsia="楷体"/>
        </w:rPr>
      </w:pPr>
      <w:bookmarkStart w:id="20" w:name="_Toc68698330"/>
      <w:r>
        <w:rPr>
          <w:rFonts w:hint="eastAsia" w:ascii="楷体" w:hAnsi="楷体" w:eastAsia="楷体"/>
        </w:rPr>
        <w:t>第三节  加快培育外贸竞争新优势</w:t>
      </w:r>
      <w:bookmarkEnd w:id="20"/>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1.优化提升外贸商品结构。</w:t>
      </w:r>
      <w:r>
        <w:rPr>
          <w:rFonts w:hint="eastAsia" w:ascii="仿宋_GB2312" w:eastAsia="仿宋_GB2312"/>
          <w:spacing w:val="6"/>
          <w:sz w:val="32"/>
          <w:szCs w:val="32"/>
        </w:rPr>
        <w:t>积极推动客车、农业机械、纺织设备、有色金属、白银、生物化工产品、宠物食品开拓国际市场。促进纺织、服装、木制品等劳动密集型产品高端化、精细化发展，稳步扩大出口规模。提升禽肉、饲料、脱水蔬菜农产品精深加工能力和特色发展水平，扩大高附加值农产品出口。支持企业开展境外专利申请、商标注册、资质认证等，鼓励企业充分利用国际认可的产品检测和认证体系，按照国际标准开展生产和质量检验。提升产品核心竞争力。促进加工贸易转型升级，有序承接加工贸易梯度转移。加大对发展服务贸易的支持力度，重点培育服务外包企业，优化贸易方式。</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2.多元化开拓新兴市场。</w:t>
      </w:r>
      <w:r>
        <w:rPr>
          <w:rFonts w:hint="eastAsia" w:ascii="仿宋_GB2312" w:eastAsia="仿宋_GB2312"/>
          <w:spacing w:val="6"/>
          <w:sz w:val="32"/>
          <w:szCs w:val="32"/>
        </w:rPr>
        <w:t>用足用好中央、省级扶持政策，</w:t>
      </w:r>
      <w:r>
        <w:rPr>
          <w:rFonts w:hint="eastAsia" w:ascii="仿宋_GB2312" w:eastAsia="仿宋_GB2312"/>
          <w:color w:val="auto"/>
          <w:spacing w:val="6"/>
          <w:sz w:val="32"/>
          <w:szCs w:val="32"/>
        </w:rPr>
        <w:t>积极参与德国汉诺威工业博览会、</w:t>
      </w:r>
      <w:r>
        <w:rPr>
          <w:rFonts w:hint="eastAsia" w:ascii="仿宋_GB2312" w:eastAsia="仿宋_GB2312"/>
          <w:color w:val="auto"/>
          <w:spacing w:val="6"/>
          <w:sz w:val="32"/>
          <w:szCs w:val="32"/>
          <w:lang w:val="en-US" w:eastAsia="zh-CN"/>
        </w:rPr>
        <w:t>中国（山东）品牌产品中东欧展、</w:t>
      </w:r>
      <w:r>
        <w:rPr>
          <w:rFonts w:hint="eastAsia" w:ascii="仿宋_GB2312" w:eastAsia="仿宋_GB2312"/>
          <w:color w:val="auto"/>
          <w:spacing w:val="6"/>
          <w:sz w:val="32"/>
          <w:szCs w:val="32"/>
        </w:rPr>
        <w:t>中国山东出口商品</w:t>
      </w:r>
      <w:r>
        <w:rPr>
          <w:rFonts w:hint="eastAsia" w:ascii="仿宋_GB2312" w:eastAsia="仿宋_GB2312"/>
          <w:color w:val="auto"/>
          <w:spacing w:val="6"/>
          <w:sz w:val="32"/>
          <w:szCs w:val="32"/>
          <w:lang w:val="en-US" w:eastAsia="zh-CN"/>
        </w:rPr>
        <w:t>韩国展、日本大阪展</w:t>
      </w:r>
      <w:r>
        <w:rPr>
          <w:rFonts w:hint="eastAsia" w:ascii="仿宋_GB2312" w:eastAsia="仿宋_GB2312"/>
          <w:color w:val="auto"/>
          <w:spacing w:val="6"/>
          <w:sz w:val="32"/>
          <w:szCs w:val="32"/>
        </w:rPr>
        <w:t>、</w:t>
      </w:r>
      <w:r>
        <w:rPr>
          <w:rFonts w:hint="eastAsia" w:ascii="仿宋_GB2312" w:eastAsia="仿宋_GB2312"/>
          <w:color w:val="auto"/>
          <w:spacing w:val="6"/>
          <w:sz w:val="32"/>
          <w:szCs w:val="32"/>
          <w:lang w:val="en-US" w:eastAsia="zh-CN"/>
        </w:rPr>
        <w:t>肯尼亚展、南非展、尼日利亚展、墨西哥展、俄罗斯展以及中国山东机械电子品牌菲律宾展、印度尼西亚展</w:t>
      </w:r>
      <w:r>
        <w:rPr>
          <w:rFonts w:hint="eastAsia" w:ascii="仿宋_GB2312" w:eastAsia="仿宋_GB2312"/>
          <w:color w:val="auto"/>
          <w:spacing w:val="6"/>
          <w:sz w:val="32"/>
          <w:szCs w:val="32"/>
        </w:rPr>
        <w:t>等知名展会。</w:t>
      </w:r>
      <w:r>
        <w:rPr>
          <w:rFonts w:hint="eastAsia" w:ascii="仿宋_GB2312" w:eastAsia="仿宋_GB2312"/>
          <w:spacing w:val="6"/>
          <w:sz w:val="32"/>
          <w:szCs w:val="32"/>
        </w:rPr>
        <w:t>继续组织企业参加广交会、华交会、高交会、服贸会、东盟会、中食展等国内重点国际性展会。引导企业积极参加山东出口商品、聊城出口商品分地区或行业系列云展会活动。鼓励企业利用“阿里巴巴”</w:t>
      </w:r>
      <w:r>
        <w:rPr>
          <w:rFonts w:hint="eastAsia" w:ascii="仿宋_GB2312" w:eastAsia="仿宋_GB2312"/>
          <w:spacing w:val="6"/>
          <w:sz w:val="32"/>
          <w:szCs w:val="32"/>
          <w:lang w:eastAsia="zh-CN"/>
        </w:rPr>
        <w:t>、</w:t>
      </w:r>
      <w:r>
        <w:rPr>
          <w:rFonts w:hint="eastAsia" w:ascii="仿宋_GB2312" w:eastAsia="仿宋_GB2312"/>
          <w:spacing w:val="6"/>
          <w:sz w:val="32"/>
          <w:szCs w:val="32"/>
        </w:rPr>
        <w:t>“中国制造”、“亚马逊”、“Ebay”等第三方服务平台寻找客户、开拓国际市场。支持企业以合作、自建等方式，完善营销和服务保障体系，重点推动客车、农用机械、食品等行业品牌企业建设国际营销服务网点，加快建立国际营销体系。</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3.创新发展新业态</w:t>
      </w:r>
      <w:r>
        <w:rPr>
          <w:rFonts w:hint="eastAsia" w:ascii="仿宋_GB2312" w:eastAsia="仿宋_GB2312"/>
          <w:b/>
          <w:spacing w:val="6"/>
          <w:sz w:val="32"/>
          <w:szCs w:val="32"/>
          <w:lang w:val="en-US" w:eastAsia="zh-CN"/>
        </w:rPr>
        <w:t>新模式</w:t>
      </w:r>
      <w:r>
        <w:rPr>
          <w:rFonts w:hint="eastAsia" w:ascii="仿宋_GB2312" w:eastAsia="仿宋_GB2312"/>
          <w:b/>
          <w:spacing w:val="6"/>
          <w:sz w:val="32"/>
          <w:szCs w:val="32"/>
        </w:rPr>
        <w:t>。</w:t>
      </w:r>
      <w:r>
        <w:rPr>
          <w:rFonts w:hint="eastAsia" w:ascii="仿宋_GB2312" w:eastAsia="仿宋_GB2312"/>
          <w:spacing w:val="6"/>
          <w:sz w:val="32"/>
          <w:szCs w:val="32"/>
        </w:rPr>
        <w:t>积极</w:t>
      </w:r>
      <w:r>
        <w:rPr>
          <w:rFonts w:hint="eastAsia" w:ascii="仿宋_GB2312" w:eastAsia="仿宋_GB2312"/>
          <w:spacing w:val="6"/>
          <w:sz w:val="32"/>
          <w:szCs w:val="32"/>
          <w:lang w:val="en-US" w:eastAsia="zh-CN"/>
        </w:rPr>
        <w:t>申报</w:t>
      </w:r>
      <w:r>
        <w:rPr>
          <w:rFonts w:hint="eastAsia" w:ascii="仿宋_GB2312" w:eastAsia="仿宋_GB2312"/>
          <w:spacing w:val="6"/>
          <w:sz w:val="32"/>
          <w:szCs w:val="32"/>
        </w:rPr>
        <w:t>省级跨境电商集聚区，不断探索好经验好做法，培育壮大跨境电商企业。引导跨境电商企业开展B2B、B2C、跨境电商零售进口等多模式运营，促进跨境电商业务</w:t>
      </w:r>
      <w:r>
        <w:rPr>
          <w:rFonts w:hint="eastAsia" w:ascii="仿宋_GB2312" w:eastAsia="仿宋_GB2312"/>
          <w:spacing w:val="6"/>
          <w:sz w:val="32"/>
          <w:szCs w:val="32"/>
          <w:lang w:val="en-US" w:eastAsia="zh-CN"/>
        </w:rPr>
        <w:t>发展</w:t>
      </w:r>
      <w:r>
        <w:rPr>
          <w:rFonts w:hint="eastAsia" w:ascii="仿宋_GB2312" w:eastAsia="仿宋_GB2312"/>
          <w:spacing w:val="6"/>
          <w:sz w:val="32"/>
          <w:szCs w:val="32"/>
        </w:rPr>
        <w:t>。推动百佳食品美国海外仓、新腾威南非海外仓建设，继续培育一批新的海外仓参与认定。充分发挥现有国家级外贸转型升级示范基地和省级外贸转型升级试点县示范带动作用，鼓励更多的县区和项目基地实现转型升级。研究完善配套政策，促进外贸综合服务企业发展，壮大服务队伍。积极完善临清一站式关税贷服务平台试点工作，探索推进烟店轴承市场纳入国家市场采购贸易方式试点，扩大出口规模。</w:t>
      </w:r>
    </w:p>
    <w:p>
      <w:pPr>
        <w:pStyle w:val="4"/>
        <w:spacing w:before="156" w:after="156" w:line="415" w:lineRule="auto"/>
        <w:jc w:val="center"/>
        <w:rPr>
          <w:rFonts w:ascii="楷体" w:hAnsi="楷体" w:eastAsia="楷体"/>
        </w:rPr>
      </w:pPr>
      <w:bookmarkStart w:id="21" w:name="_Toc68698331"/>
      <w:r>
        <w:rPr>
          <w:rFonts w:hint="eastAsia" w:ascii="楷体" w:hAnsi="楷体" w:eastAsia="楷体"/>
        </w:rPr>
        <w:t>第四节  推进利用外资提质增效</w:t>
      </w:r>
      <w:bookmarkEnd w:id="21"/>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1.聚焦重点产业地区。</w:t>
      </w:r>
      <w:r>
        <w:rPr>
          <w:rFonts w:hint="eastAsia" w:ascii="仿宋_GB2312" w:eastAsia="仿宋_GB2312"/>
          <w:spacing w:val="6"/>
          <w:sz w:val="32"/>
          <w:szCs w:val="32"/>
        </w:rPr>
        <w:t>坚持深耕日韩</w:t>
      </w:r>
      <w:r>
        <w:rPr>
          <w:rFonts w:ascii="仿宋_GB2312" w:eastAsia="仿宋_GB2312"/>
          <w:spacing w:val="6"/>
          <w:sz w:val="32"/>
          <w:szCs w:val="32"/>
        </w:rPr>
        <w:t>、提升港澳台、突破欧美</w:t>
      </w:r>
      <w:r>
        <w:rPr>
          <w:rFonts w:hint="eastAsia" w:ascii="仿宋_GB2312" w:eastAsia="仿宋_GB2312"/>
          <w:spacing w:val="6"/>
          <w:sz w:val="32"/>
          <w:szCs w:val="32"/>
        </w:rPr>
        <w:t>和东南亚，全方位引进外资。以“四新”促“四化”为目标，以传统制造业优化升级和培育发展战略性新兴产业为重点，聚焦新旧动能转换，精心策划、储备一批新旧动能转换利用外资项目。按照产业建链、延链、补链、强链的原则，重点围绕新材料、高端装备制造、新能源汽车、医养健康等四大新兴产业集群和有色金属及金属加工、绿色化工、纺织服装、文化旅游、高效农业等五大传统产业集群发展的关键环节、关键技术、关键零部件，盯住目标企业，锁定重大项目，开展对外合作。</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2.切实抓好招大引强。</w:t>
      </w:r>
      <w:r>
        <w:rPr>
          <w:rFonts w:hint="eastAsia" w:ascii="仿宋_GB2312" w:eastAsia="仿宋_GB2312"/>
          <w:spacing w:val="6"/>
          <w:sz w:val="32"/>
          <w:szCs w:val="32"/>
        </w:rPr>
        <w:t>结合聊城市产业发展规划，根据世界500强及行业领军企业的国别地区分布，深入研究世界500强和行业领军企业的投资需求和在华战略布局，制定符合我市实际的外商投资产业目录，积极与国外大集团、大财团建立联系，组织有关县（市、区）和企业赴境外开展精准招商活动，主动对接、引进一批新的利用外资大项目、好项目，借助外资促进企业跨越发展。积极参加“选择山东”全球路演和跨国公司及行业领军企业“走进山东”系列活动，依托港澳山东周等活动平台推进与香港、台湾及周边国家和地区的经贸合作，积极引进国际高端产业投资项目、技术和人才。</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3.创新招商引资模式。</w:t>
      </w:r>
      <w:r>
        <w:rPr>
          <w:rFonts w:hint="eastAsia" w:ascii="仿宋_GB2312" w:eastAsia="仿宋_GB2312"/>
          <w:spacing w:val="6"/>
          <w:sz w:val="32"/>
          <w:szCs w:val="32"/>
        </w:rPr>
        <w:t>加强招商资源统筹、项目统筹、队伍统筹，围绕产业链关键、薄弱环节加强精准招商，促进招商路径从政策、要素招商向产业链、总部和高端增资招商转变。</w:t>
      </w:r>
      <w:r>
        <w:rPr>
          <w:rFonts w:hint="eastAsia" w:ascii="仿宋_GB2312" w:hAnsi="Calibri" w:eastAsia="仿宋_GB2312" w:cs="Times New Roman"/>
          <w:spacing w:val="6"/>
          <w:sz w:val="32"/>
          <w:szCs w:val="32"/>
        </w:rPr>
        <w:t>坚持</w:t>
      </w:r>
      <w:r>
        <w:rPr>
          <w:rFonts w:hint="eastAsia" w:ascii="仿宋_GB2312" w:eastAsia="仿宋_GB2312"/>
          <w:spacing w:val="6"/>
          <w:sz w:val="32"/>
          <w:szCs w:val="32"/>
        </w:rPr>
        <w:t>“</w:t>
      </w:r>
      <w:r>
        <w:rPr>
          <w:rFonts w:hint="eastAsia" w:ascii="仿宋_GB2312" w:hAnsi="Calibri" w:eastAsia="仿宋_GB2312" w:cs="Times New Roman"/>
          <w:spacing w:val="6"/>
          <w:sz w:val="32"/>
          <w:szCs w:val="32"/>
        </w:rPr>
        <w:t>授权与激励</w:t>
      </w:r>
      <w:r>
        <w:rPr>
          <w:rFonts w:hint="eastAsia" w:ascii="仿宋_GB2312" w:eastAsia="仿宋_GB2312"/>
          <w:spacing w:val="6"/>
          <w:sz w:val="32"/>
          <w:szCs w:val="32"/>
        </w:rPr>
        <w:t>”</w:t>
      </w:r>
      <w:r>
        <w:rPr>
          <w:rFonts w:hint="eastAsia" w:ascii="仿宋_GB2312" w:hAnsi="Calibri" w:eastAsia="仿宋_GB2312" w:cs="Times New Roman"/>
          <w:spacing w:val="6"/>
          <w:sz w:val="32"/>
          <w:szCs w:val="32"/>
        </w:rPr>
        <w:t>相结合，创新开展驻外招商、代理招商、以商招商</w:t>
      </w:r>
      <w:r>
        <w:rPr>
          <w:rFonts w:hint="eastAsia" w:ascii="仿宋_GB2312" w:eastAsia="仿宋_GB2312"/>
          <w:spacing w:val="6"/>
          <w:sz w:val="32"/>
          <w:szCs w:val="32"/>
        </w:rPr>
        <w:t>，提升招商引资工作专业化水平。大力引进外资投资性公司、股权投资基金、创业投资企业。支持运用融资租赁、参股并购、股东贷款、私募股权投资、PPP等方式吸收外资。突出对希杰、</w:t>
      </w:r>
      <w:r>
        <w:rPr>
          <w:rFonts w:hint="eastAsia" w:ascii="仿宋_GB2312" w:hAnsi="Calibri" w:eastAsia="仿宋_GB2312" w:cs="Times New Roman"/>
          <w:spacing w:val="6"/>
          <w:sz w:val="32"/>
          <w:szCs w:val="32"/>
        </w:rPr>
        <w:t>耐克森</w:t>
      </w:r>
      <w:r>
        <w:rPr>
          <w:rFonts w:hint="eastAsia" w:ascii="仿宋_GB2312" w:eastAsia="仿宋_GB2312"/>
          <w:spacing w:val="6"/>
          <w:sz w:val="32"/>
          <w:szCs w:val="32"/>
        </w:rPr>
        <w:t>等龙头企业开展“二次招商”、“以企招商”，吸引其更多投资或更多配套企业投资，形成产业链集群。鼓励市内企业开展跨国并购、境外上市等，利用全球创新资源要素做大做强后返回聊城投资。</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4.持续优化营商环境。</w:t>
      </w:r>
      <w:r>
        <w:rPr>
          <w:rFonts w:hint="eastAsia" w:ascii="仿宋_GB2312" w:eastAsia="仿宋_GB2312"/>
          <w:spacing w:val="6"/>
          <w:sz w:val="32"/>
          <w:szCs w:val="32"/>
        </w:rPr>
        <w:t>全面实施外商投资准入前国民待遇加负面清单管理模式，建立完善外商投资管理信息平台和外商投资信息报告制度，进一步提升外商投资便利化水平。建立和推行外企联系走访和重点外企“服务大使”制度，不断完善市县两级服务外商投资企业工作机制，前移服务关口，实行外商投资全程化、个性化和专业化服务。完善全市外商投资企业投诉联系协调机制，及时解决外商投资企业生产经营、就学就医等困难。依法保护外商投资企业及投资者合法权益，加大对专利、注册商标、商业秘密等方面侵权假冒行为的打击力度。严格兑现向投资者及外商投资企业依法作出的政策承诺，大力营造诚信政府形象。</w:t>
      </w:r>
    </w:p>
    <w:p>
      <w:pPr>
        <w:pStyle w:val="4"/>
        <w:spacing w:before="156" w:after="156" w:line="415" w:lineRule="auto"/>
        <w:jc w:val="center"/>
        <w:rPr>
          <w:rFonts w:ascii="楷体" w:hAnsi="楷体" w:eastAsia="楷体"/>
        </w:rPr>
      </w:pPr>
      <w:bookmarkStart w:id="22" w:name="_Toc68698332"/>
      <w:r>
        <w:rPr>
          <w:rFonts w:hint="eastAsia" w:ascii="楷体" w:hAnsi="楷体" w:eastAsia="楷体"/>
        </w:rPr>
        <w:t>第五节  保持“走出去”稳定步伐</w:t>
      </w:r>
      <w:bookmarkEnd w:id="22"/>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1.稳定推进国际产能合作。</w:t>
      </w:r>
      <w:r>
        <w:rPr>
          <w:rFonts w:hint="eastAsia" w:ascii="仿宋_GB2312" w:eastAsia="仿宋_GB2312"/>
          <w:spacing w:val="6"/>
          <w:sz w:val="32"/>
          <w:szCs w:val="32"/>
        </w:rPr>
        <w:t>以“一带一路”沿线国家或地区为重点，大力推进境外能源资源、农业合作开发，建设铝土矿、铜矿、农畜产品等资源开发基地。积极推进国际产能合作，重点引导钢铁板材、钢管、纺织、宠物食品等优势产业到境外设立生产基地。大力推广政府、银行、出口信用担保机构“3+1”工作模式，创新完善投融资机制，在贷款贴息、资源回运、海外投资保险等方面为企业提供更多支持。鼓励优势企业参与“一带一路”基础设施建设，在沿线国家建立境外商品展示中心、营销中心、物流分拨基地和海外仓。支持有条件的企业建设境外经贸合作区和农业合作示范区。</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2.积极培育本土跨国公司。</w:t>
      </w:r>
      <w:r>
        <w:rPr>
          <w:rFonts w:hint="eastAsia" w:ascii="仿宋_GB2312" w:eastAsia="仿宋_GB2312"/>
          <w:spacing w:val="6"/>
          <w:sz w:val="32"/>
          <w:szCs w:val="32"/>
        </w:rPr>
        <w:t>实施跨国公司培育战略，引导企业实现外贸、外资、外经“三外”融合发展。支持信发集团、新凤祥集团、鲁西集团、中通客车、三和纺织、东阿阿胶、乖宝</w:t>
      </w:r>
      <w:r>
        <w:rPr>
          <w:rFonts w:hint="eastAsia" w:ascii="仿宋_GB2312" w:eastAsia="仿宋_GB2312"/>
          <w:spacing w:val="6"/>
          <w:sz w:val="32"/>
          <w:szCs w:val="32"/>
          <w:lang w:val="en-US" w:eastAsia="zh-CN"/>
        </w:rPr>
        <w:t>集团</w:t>
      </w:r>
      <w:r>
        <w:rPr>
          <w:rFonts w:hint="eastAsia" w:ascii="仿宋_GB2312" w:eastAsia="仿宋_GB2312"/>
          <w:spacing w:val="6"/>
          <w:sz w:val="32"/>
          <w:szCs w:val="32"/>
        </w:rPr>
        <w:t>等企业加快“走出去”步伐，通过合作开发、参股、并购等多种方式，加快在“一带一路”沿线布局和集聚发展。大力推广乖宝集团在泰国罗勇工业园设立企业进行加工销售的成功经验，鼓励重点外贸出口企业到东南亚、南美、非洲市场的中国境外园区设立加工贸易企业，降低生产成本，变更原产地证，稳定出口规模和市场份额。探索设立境外并购回归产业园，支持海外并购项目返程投资。</w:t>
      </w:r>
    </w:p>
    <w:p>
      <w:pPr>
        <w:spacing w:line="360" w:lineRule="auto"/>
        <w:ind w:firstLine="667" w:firstLineChars="200"/>
        <w:rPr>
          <w:rFonts w:hint="eastAsia" w:ascii="仿宋_GB2312" w:eastAsia="仿宋_GB2312"/>
          <w:color w:val="auto"/>
          <w:spacing w:val="6"/>
          <w:sz w:val="32"/>
          <w:szCs w:val="32"/>
          <w:lang w:eastAsia="zh-CN"/>
        </w:rPr>
      </w:pPr>
      <w:r>
        <w:rPr>
          <w:rFonts w:hint="eastAsia" w:ascii="仿宋_GB2312" w:eastAsia="仿宋_GB2312"/>
          <w:b/>
          <w:spacing w:val="6"/>
          <w:sz w:val="32"/>
          <w:szCs w:val="32"/>
        </w:rPr>
        <w:t>3.培育发展对外承包工程和外派劳务。</w:t>
      </w:r>
      <w:r>
        <w:rPr>
          <w:rFonts w:hint="eastAsia" w:ascii="仿宋_GB2312" w:eastAsia="仿宋_GB2312"/>
          <w:spacing w:val="6"/>
          <w:sz w:val="32"/>
          <w:szCs w:val="32"/>
        </w:rPr>
        <w:t>支持有实力的企业开展对外承包工程业务，切实增强品牌意识和合作意识，打造具有较强竞争力的工程承包企业集团或企业联合体。鼓励市内企业通过股份合作、项目合作等方式，加强与央企对接协作，合力开拓国际工程市场，带动机电设备、原材料等产品出口。</w:t>
      </w:r>
      <w:r>
        <w:rPr>
          <w:rFonts w:hint="eastAsia" w:ascii="仿宋_GB2312" w:eastAsia="仿宋_GB2312"/>
          <w:color w:val="auto"/>
          <w:spacing w:val="6"/>
          <w:sz w:val="32"/>
          <w:szCs w:val="32"/>
        </w:rPr>
        <w:t>不断提高对外劳务合作水平，发挥聊城职业技术学院、聊城技师学院等职业教育资源优势，依托鲁西国际建设高端外派劳务培育基地，打造我市外派劳务品牌</w:t>
      </w:r>
      <w:r>
        <w:rPr>
          <w:rFonts w:hint="eastAsia" w:ascii="仿宋_GB2312" w:eastAsia="仿宋_GB2312"/>
          <w:color w:val="auto"/>
          <w:spacing w:val="6"/>
          <w:sz w:val="32"/>
          <w:szCs w:val="32"/>
          <w:lang w:eastAsia="zh-CN"/>
        </w:rPr>
        <w:t>。</w:t>
      </w:r>
    </w:p>
    <w:p>
      <w:pPr>
        <w:pStyle w:val="4"/>
        <w:spacing w:before="156" w:after="156" w:line="415" w:lineRule="auto"/>
        <w:jc w:val="center"/>
        <w:rPr>
          <w:rFonts w:ascii="楷体" w:hAnsi="楷体" w:eastAsia="楷体"/>
        </w:rPr>
      </w:pPr>
      <w:bookmarkStart w:id="23" w:name="_Toc68698333"/>
      <w:r>
        <w:rPr>
          <w:rFonts w:hint="eastAsia" w:ascii="楷体" w:hAnsi="楷体" w:eastAsia="楷体"/>
        </w:rPr>
        <w:t>第六节  搭建对外开放新平台</w:t>
      </w:r>
      <w:bookmarkEnd w:id="23"/>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1.建设新型开放平台。</w:t>
      </w:r>
      <w:r>
        <w:rPr>
          <w:rFonts w:hint="eastAsia" w:ascii="仿宋_GB2312" w:eastAsia="仿宋_GB2312"/>
          <w:spacing w:val="6"/>
          <w:sz w:val="32"/>
          <w:szCs w:val="32"/>
        </w:rPr>
        <w:t>大力建设“内陆港、综合保税区”</w:t>
      </w:r>
      <w:r>
        <w:rPr>
          <w:rFonts w:hint="eastAsia" w:ascii="仿宋_GB2312" w:eastAsia="仿宋_GB2312"/>
          <w:spacing w:val="6"/>
          <w:sz w:val="32"/>
          <w:szCs w:val="32"/>
          <w:lang w:val="en-US" w:eastAsia="zh-CN"/>
        </w:rPr>
        <w:t>二</w:t>
      </w:r>
      <w:r>
        <w:rPr>
          <w:rFonts w:hint="eastAsia" w:ascii="仿宋_GB2312" w:eastAsia="仿宋_GB2312"/>
          <w:spacing w:val="6"/>
          <w:sz w:val="32"/>
          <w:szCs w:val="32"/>
        </w:rPr>
        <w:t>合一开放平台，坚持政府投入与市场运作相结合，以公路、铁路、机场为依托，鼓励</w:t>
      </w:r>
      <w:r>
        <w:rPr>
          <w:rFonts w:hint="eastAsia" w:ascii="仿宋_GB2312" w:eastAsia="仿宋_GB2312"/>
          <w:color w:val="auto"/>
          <w:spacing w:val="6"/>
          <w:sz w:val="32"/>
          <w:szCs w:val="32"/>
          <w:lang w:val="en-US" w:eastAsia="zh-CN"/>
        </w:rPr>
        <w:t>经开区、</w:t>
      </w:r>
      <w:r>
        <w:rPr>
          <w:rFonts w:hint="eastAsia" w:ascii="仿宋_GB2312" w:eastAsia="仿宋_GB2312"/>
          <w:color w:val="auto"/>
          <w:spacing w:val="6"/>
          <w:sz w:val="32"/>
          <w:szCs w:val="32"/>
        </w:rPr>
        <w:t>临清、冠县、茌平、阳谷</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莘县</w:t>
      </w:r>
      <w:r>
        <w:rPr>
          <w:rFonts w:hint="eastAsia" w:ascii="仿宋_GB2312" w:eastAsia="仿宋_GB2312"/>
          <w:color w:val="auto"/>
          <w:spacing w:val="6"/>
          <w:sz w:val="32"/>
          <w:szCs w:val="32"/>
        </w:rPr>
        <w:t>高起点</w:t>
      </w:r>
      <w:r>
        <w:rPr>
          <w:rFonts w:hint="eastAsia" w:ascii="仿宋_GB2312" w:eastAsia="仿宋_GB2312"/>
          <w:spacing w:val="6"/>
          <w:sz w:val="32"/>
          <w:szCs w:val="32"/>
        </w:rPr>
        <w:t>、高标准规划建设内陆港。按照渐次有序推进原则，逐步申请设立保税物流中心（B型）和综合保税区。</w:t>
      </w:r>
      <w:r>
        <w:rPr>
          <w:rFonts w:hint="eastAsia" w:ascii="仿宋_GB2312" w:eastAsia="仿宋_GB2312"/>
          <w:color w:val="0000FF"/>
          <w:spacing w:val="6"/>
          <w:sz w:val="32"/>
          <w:szCs w:val="32"/>
        </w:rPr>
        <w:t>申报多式联运监管中心,完善内陆港和综合保税区口岸功能，打造集一站式通关功能、海关监管功能、保税物流中心功能于一体的区域性综合保税内陆港，为申报国家一类铁路口岸奠定基础</w:t>
      </w:r>
      <w:r>
        <w:rPr>
          <w:rFonts w:hint="eastAsia" w:ascii="仿宋_GB2312" w:eastAsia="仿宋_GB2312"/>
          <w:color w:val="0000FF"/>
          <w:spacing w:val="6"/>
          <w:sz w:val="32"/>
          <w:szCs w:val="32"/>
          <w:lang w:eastAsia="zh-CN"/>
        </w:rPr>
        <w:t>。</w:t>
      </w:r>
      <w:r>
        <w:rPr>
          <w:rFonts w:hint="eastAsia" w:ascii="仿宋_GB2312" w:eastAsia="仿宋_GB2312"/>
          <w:spacing w:val="6"/>
          <w:sz w:val="32"/>
          <w:szCs w:val="32"/>
        </w:rPr>
        <w:t>依托“</w:t>
      </w:r>
      <w:r>
        <w:rPr>
          <w:rFonts w:hint="eastAsia" w:ascii="仿宋_GB2312" w:eastAsia="仿宋_GB2312"/>
          <w:spacing w:val="6"/>
          <w:sz w:val="32"/>
          <w:szCs w:val="32"/>
          <w:lang w:val="en-US" w:eastAsia="zh-CN"/>
        </w:rPr>
        <w:t>二</w:t>
      </w:r>
      <w:r>
        <w:rPr>
          <w:rFonts w:hint="eastAsia" w:ascii="仿宋_GB2312" w:eastAsia="仿宋_GB2312"/>
          <w:spacing w:val="6"/>
          <w:sz w:val="32"/>
          <w:szCs w:val="32"/>
        </w:rPr>
        <w:t>合一”</w:t>
      </w:r>
      <w:r>
        <w:rPr>
          <w:rFonts w:hint="eastAsia" w:ascii="仿宋_GB2312" w:eastAsia="仿宋_GB2312"/>
          <w:spacing w:val="6"/>
          <w:sz w:val="32"/>
          <w:szCs w:val="32"/>
          <w:lang w:val="en-US" w:eastAsia="zh-CN"/>
        </w:rPr>
        <w:t>开放</w:t>
      </w:r>
      <w:r>
        <w:rPr>
          <w:rFonts w:hint="eastAsia" w:ascii="仿宋_GB2312" w:eastAsia="仿宋_GB2312"/>
          <w:spacing w:val="6"/>
          <w:sz w:val="32"/>
          <w:szCs w:val="32"/>
        </w:rPr>
        <w:t>平台，积极拓展货物拆拼和集运业务，培育壮大内陆在岸转口和过境贸易。积极推进“前港后园”发展模式，规划建设临港、临空物流园区，实现物流园、经贸园、产业园联动发展。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2.建设高品质的开放合作示范园区。</w:t>
      </w:r>
      <w:r>
        <w:rPr>
          <w:rFonts w:hint="eastAsia" w:ascii="仿宋_GB2312" w:eastAsia="仿宋_GB2312"/>
          <w:spacing w:val="6"/>
          <w:sz w:val="32"/>
          <w:szCs w:val="32"/>
        </w:rPr>
        <w:t>加快推进开发区体制机制改革创新，实现市场化运营、专业化服务、国际化发展。支持3家市属开发区和8家省级经济开发区，聚焦建链、补链、强链、延链，采用“区中园”“园中园”“云上园”等模式，与发达国家、跨国公司共建国际产业合作园区。建立开发区产业协同发展机制，实现招商项目信息共享。鼓励各开发区与国内先进开发区开展“飞地”园区建设，探索“飞地经济”等新模式。支持聊城经济开发区积极争取国家、省加工贸易、服务贸易和跨境电商等有关开放试点试验落地，打造加工贸易转型升级示范区、服务贸易创新发展基地和跨境电子</w:t>
      </w:r>
      <w:r>
        <w:rPr>
          <w:rFonts w:ascii="仿宋_GB2312" w:eastAsia="仿宋_GB2312"/>
          <w:spacing w:val="6"/>
          <w:sz w:val="32"/>
          <w:szCs w:val="32"/>
        </w:rPr>
        <w:t>商务示范基地</w:t>
      </w:r>
      <w:r>
        <w:rPr>
          <w:rFonts w:hint="eastAsia" w:ascii="仿宋_GB2312" w:eastAsia="仿宋_GB2312"/>
          <w:spacing w:val="6"/>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3.建设具有较高知名度的开放品牌。</w:t>
      </w:r>
      <w:r>
        <w:rPr>
          <w:rFonts w:hint="eastAsia" w:ascii="仿宋_GB2312" w:eastAsia="仿宋_GB2312"/>
          <w:spacing w:val="6"/>
          <w:sz w:val="32"/>
          <w:szCs w:val="32"/>
        </w:rPr>
        <w:t>用好运河古韵和水城特色，持续办好江北水城“双招双引”大会，打造引领聊城开放发展、创新发展的靓丽名片。健全完善外贸综合服务特色平台，积极开展一站式关税贷试点，优化提升中小企业报关、报检、进出口贸易代理、退税代理、税款融资等外贸全流程服务，打响外贸服务聊城品牌。依托国家、省贸促会等服务平台，拓展推介宣传渠道，</w:t>
      </w:r>
      <w:r>
        <w:rPr>
          <w:rFonts w:hint="eastAsia" w:ascii="仿宋_GB2312" w:eastAsia="仿宋_GB2312"/>
          <w:spacing w:val="6"/>
          <w:sz w:val="32"/>
          <w:szCs w:val="32"/>
          <w:lang w:val="en-US" w:eastAsia="zh-CN"/>
        </w:rPr>
        <w:t>积极</w:t>
      </w:r>
      <w:r>
        <w:rPr>
          <w:rFonts w:hint="eastAsia" w:ascii="仿宋_GB2312" w:eastAsia="仿宋_GB2312"/>
          <w:spacing w:val="6"/>
          <w:sz w:val="32"/>
          <w:szCs w:val="32"/>
        </w:rPr>
        <w:t>举办各类会展活动，打造对外宣传高端平台。</w:t>
      </w:r>
    </w:p>
    <w:p>
      <w:pPr>
        <w:pStyle w:val="4"/>
        <w:spacing w:before="156" w:after="156" w:line="415" w:lineRule="auto"/>
        <w:jc w:val="center"/>
        <w:rPr>
          <w:rFonts w:ascii="楷体" w:hAnsi="楷体" w:eastAsia="楷体"/>
        </w:rPr>
      </w:pPr>
      <w:bookmarkStart w:id="24" w:name="_Toc68698334"/>
      <w:r>
        <w:rPr>
          <w:rFonts w:hint="eastAsia" w:ascii="楷体" w:hAnsi="楷体" w:eastAsia="楷体"/>
        </w:rPr>
        <w:t>第七节  发展壮大服务贸易</w:t>
      </w:r>
      <w:bookmarkEnd w:id="24"/>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1.提升服务贸易规模。</w:t>
      </w:r>
      <w:r>
        <w:rPr>
          <w:rFonts w:ascii="仿宋_GB2312" w:eastAsia="仿宋_GB2312"/>
          <w:spacing w:val="6"/>
          <w:sz w:val="32"/>
          <w:szCs w:val="32"/>
        </w:rPr>
        <w:t>激活</w:t>
      </w:r>
      <w:r>
        <w:rPr>
          <w:rFonts w:hint="eastAsia" w:ascii="仿宋_GB2312" w:eastAsia="仿宋_GB2312"/>
          <w:spacing w:val="6"/>
          <w:sz w:val="32"/>
          <w:szCs w:val="32"/>
        </w:rPr>
        <w:t>服务贸易</w:t>
      </w:r>
      <w:r>
        <w:rPr>
          <w:rFonts w:ascii="仿宋_GB2312" w:eastAsia="仿宋_GB2312"/>
          <w:spacing w:val="6"/>
          <w:sz w:val="32"/>
          <w:szCs w:val="32"/>
        </w:rPr>
        <w:t>发展</w:t>
      </w:r>
      <w:r>
        <w:rPr>
          <w:rFonts w:hint="eastAsia" w:ascii="仿宋_GB2312" w:eastAsia="仿宋_GB2312"/>
          <w:spacing w:val="6"/>
          <w:sz w:val="32"/>
          <w:szCs w:val="32"/>
        </w:rPr>
        <w:t>新</w:t>
      </w:r>
      <w:r>
        <w:rPr>
          <w:rFonts w:ascii="仿宋_GB2312" w:eastAsia="仿宋_GB2312"/>
          <w:spacing w:val="6"/>
          <w:sz w:val="32"/>
          <w:szCs w:val="32"/>
        </w:rPr>
        <w:t>动能,推动</w:t>
      </w:r>
      <w:r>
        <w:rPr>
          <w:rFonts w:hint="eastAsia" w:ascii="仿宋_GB2312" w:eastAsia="仿宋_GB2312"/>
          <w:spacing w:val="6"/>
          <w:sz w:val="32"/>
          <w:szCs w:val="32"/>
        </w:rPr>
        <w:t>聊城市</w:t>
      </w:r>
      <w:r>
        <w:rPr>
          <w:rFonts w:ascii="仿宋_GB2312" w:eastAsia="仿宋_GB2312"/>
          <w:spacing w:val="6"/>
          <w:sz w:val="32"/>
          <w:szCs w:val="32"/>
        </w:rPr>
        <w:t>服务贸易规模扩大、结构优化、质量提升</w:t>
      </w:r>
      <w:r>
        <w:rPr>
          <w:rFonts w:hint="eastAsia" w:ascii="仿宋_GB2312" w:eastAsia="仿宋_GB2312"/>
          <w:spacing w:val="6"/>
          <w:sz w:val="32"/>
          <w:szCs w:val="32"/>
        </w:rPr>
        <w:t>。</w:t>
      </w:r>
      <w:r>
        <w:rPr>
          <w:rFonts w:ascii="仿宋_GB2312" w:eastAsia="仿宋_GB2312"/>
          <w:spacing w:val="6"/>
          <w:sz w:val="32"/>
          <w:szCs w:val="32"/>
        </w:rPr>
        <w:t>持续扩大优质服务进口，</w:t>
      </w:r>
      <w:r>
        <w:rPr>
          <w:rFonts w:hint="eastAsia" w:ascii="仿宋_GB2312" w:eastAsia="仿宋_GB2312"/>
          <w:spacing w:val="6"/>
          <w:sz w:val="32"/>
          <w:szCs w:val="32"/>
        </w:rPr>
        <w:t>推动</w:t>
      </w:r>
      <w:r>
        <w:rPr>
          <w:rFonts w:ascii="仿宋_GB2312" w:eastAsia="仿宋_GB2312"/>
          <w:spacing w:val="6"/>
          <w:sz w:val="32"/>
          <w:szCs w:val="32"/>
        </w:rPr>
        <w:t>旅游、医疗、文化娱乐等高端生活性服务进口和研发设计、金融、保险、数字技术等生产性服务进口</w:t>
      </w:r>
      <w:r>
        <w:rPr>
          <w:rFonts w:hint="eastAsia" w:ascii="仿宋_GB2312" w:eastAsia="仿宋_GB2312"/>
          <w:spacing w:val="6"/>
          <w:sz w:val="32"/>
          <w:szCs w:val="32"/>
        </w:rPr>
        <w:t>。</w:t>
      </w:r>
      <w:r>
        <w:rPr>
          <w:rFonts w:ascii="仿宋_GB2312" w:eastAsia="仿宋_GB2312"/>
          <w:spacing w:val="6"/>
          <w:sz w:val="32"/>
          <w:szCs w:val="32"/>
        </w:rPr>
        <w:t>拓展节能环保、科技创新、高端制造、共享经济、医疗养老等重点领域服务贸易的务实合作</w:t>
      </w:r>
      <w:r>
        <w:rPr>
          <w:rFonts w:hint="eastAsia" w:ascii="仿宋_GB2312" w:eastAsia="仿宋_GB2312"/>
          <w:spacing w:val="6"/>
          <w:sz w:val="32"/>
          <w:szCs w:val="32"/>
        </w:rPr>
        <w:t>。重点发展在线旅游、远程医疗、网络教育等新模式，大幅提升传统服务贸易数字化水平，不断提升服务业的可贸易性和出口竞争力。</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2.优化服务贸易政策。</w:t>
      </w:r>
      <w:r>
        <w:rPr>
          <w:rFonts w:ascii="仿宋_GB2312" w:eastAsia="仿宋_GB2312"/>
          <w:spacing w:val="6"/>
          <w:sz w:val="32"/>
          <w:szCs w:val="32"/>
        </w:rPr>
        <w:t>推进服务</w:t>
      </w:r>
      <w:r>
        <w:rPr>
          <w:rFonts w:hint="eastAsia" w:ascii="仿宋_GB2312" w:eastAsia="仿宋_GB2312"/>
          <w:spacing w:val="6"/>
          <w:sz w:val="32"/>
          <w:szCs w:val="32"/>
          <w:lang w:val="en-US" w:eastAsia="zh-CN"/>
        </w:rPr>
        <w:t>贸易</w:t>
      </w:r>
      <w:r>
        <w:rPr>
          <w:rFonts w:ascii="仿宋_GB2312" w:eastAsia="仿宋_GB2312"/>
          <w:spacing w:val="6"/>
          <w:sz w:val="32"/>
          <w:szCs w:val="32"/>
        </w:rPr>
        <w:t>领域</w:t>
      </w:r>
      <w:r>
        <w:rPr>
          <w:rFonts w:hint="eastAsia" w:ascii="仿宋_GB2312" w:eastAsia="仿宋_GB2312"/>
          <w:spacing w:val="6"/>
          <w:sz w:val="32"/>
          <w:szCs w:val="32"/>
        </w:rPr>
        <w:t>“</w:t>
      </w:r>
      <w:r>
        <w:rPr>
          <w:rFonts w:ascii="仿宋_GB2312" w:eastAsia="仿宋_GB2312"/>
          <w:spacing w:val="6"/>
          <w:sz w:val="32"/>
          <w:szCs w:val="32"/>
        </w:rPr>
        <w:t>放管服</w:t>
      </w:r>
      <w:r>
        <w:rPr>
          <w:rFonts w:hint="eastAsia" w:ascii="仿宋_GB2312" w:eastAsia="仿宋_GB2312"/>
          <w:spacing w:val="6"/>
          <w:sz w:val="32"/>
          <w:szCs w:val="32"/>
        </w:rPr>
        <w:t>”</w:t>
      </w:r>
      <w:r>
        <w:rPr>
          <w:rFonts w:ascii="仿宋_GB2312" w:eastAsia="仿宋_GB2312"/>
          <w:spacing w:val="6"/>
          <w:sz w:val="32"/>
          <w:szCs w:val="32"/>
        </w:rPr>
        <w:t>,在管理体制、监管制度等多个方面推进优化服务贸易体制机制,激发市场活力。</w:t>
      </w:r>
      <w:r>
        <w:rPr>
          <w:rFonts w:hint="eastAsia" w:ascii="仿宋_GB2312" w:eastAsia="仿宋_GB2312"/>
          <w:spacing w:val="6"/>
          <w:sz w:val="32"/>
          <w:szCs w:val="32"/>
        </w:rPr>
        <w:t>创新市场准入、产权保护、法制保障、政务服务等方面的制度安排，提高服务贸易领域开放程度和便利化水平，着力增强聊城市服务出口能力。推动服务贸易创新发展，突出服务贸易与货物贸易、对外投资、高端服务业联动发展。</w:t>
      </w:r>
    </w:p>
    <w:p>
      <w:pPr>
        <w:spacing w:line="360" w:lineRule="auto"/>
        <w:ind w:firstLine="643" w:firstLineChars="200"/>
        <w:rPr>
          <w:rFonts w:ascii="仿宋_GB2312" w:eastAsia="仿宋_GB2312"/>
          <w:spacing w:val="6"/>
          <w:sz w:val="32"/>
          <w:szCs w:val="32"/>
        </w:rPr>
      </w:pPr>
      <w:r>
        <w:rPr>
          <w:rFonts w:hint="eastAsia" w:ascii="仿宋_GB2312" w:hAnsi="仿宋_GB2312" w:eastAsia="仿宋_GB2312" w:cs="仿宋_GB2312"/>
          <w:b/>
          <w:bCs/>
          <w:sz w:val="32"/>
          <w:szCs w:val="32"/>
        </w:rPr>
        <w:t>3.创新发展数字贸易。</w:t>
      </w:r>
      <w:r>
        <w:rPr>
          <w:rFonts w:hint="eastAsia" w:ascii="仿宋_GB2312" w:eastAsia="仿宋_GB2312"/>
          <w:spacing w:val="6"/>
          <w:sz w:val="32"/>
          <w:szCs w:val="32"/>
        </w:rPr>
        <w:t>提升数字贸易各领域开放度，大力推进数字贸易新业态发展，培育</w:t>
      </w:r>
      <w:r>
        <w:rPr>
          <w:rFonts w:ascii="仿宋_GB2312" w:eastAsia="仿宋_GB2312"/>
          <w:spacing w:val="6"/>
          <w:sz w:val="32"/>
          <w:szCs w:val="32"/>
        </w:rPr>
        <w:t>数字贸易、版权交易、在线教育等新兴服务出口成为新的增长点</w:t>
      </w:r>
      <w:r>
        <w:rPr>
          <w:rFonts w:hint="eastAsia" w:ascii="仿宋_GB2312" w:eastAsia="仿宋_GB2312"/>
          <w:spacing w:val="6"/>
          <w:sz w:val="32"/>
          <w:szCs w:val="32"/>
        </w:rPr>
        <w:t>，提高数字贸易持续增长的核心竞争力。鼓励跨境电商加快数字化转型发展，支持凤祥股份等龙头企业利用云计算、大数据、区块链等新型数字化手段开拓国内外市场，推动国际贸易、物流、支付、营销等市场运营流程云端化、数字化，推动形成营销、支付、仓储、物流、结算等全链条跨境电商生态体系。</w:t>
      </w:r>
    </w:p>
    <w:p>
      <w:pPr>
        <w:pStyle w:val="4"/>
        <w:spacing w:before="156" w:after="156" w:line="415" w:lineRule="auto"/>
        <w:jc w:val="center"/>
        <w:rPr>
          <w:rFonts w:ascii="楷体" w:hAnsi="楷体" w:eastAsia="楷体"/>
        </w:rPr>
      </w:pPr>
      <w:bookmarkStart w:id="25" w:name="_Toc68698335"/>
      <w:r>
        <w:rPr>
          <w:rFonts w:hint="eastAsia" w:ascii="楷体" w:hAnsi="楷体" w:eastAsia="楷体"/>
        </w:rPr>
        <w:t>第八节  积极发展数字商务</w:t>
      </w:r>
      <w:bookmarkEnd w:id="25"/>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聚焦商务发展数字化新趋势，推动发展电子商务、线上线下融合、智慧商务，加快促进数字化新场景在商务领域的深度应用，不断催生新产业新模式</w:t>
      </w:r>
      <w:bookmarkStart w:id="26" w:name="_Hlk44671532"/>
      <w:r>
        <w:rPr>
          <w:rFonts w:hint="eastAsia" w:ascii="仿宋_GB2312" w:eastAsia="仿宋_GB2312"/>
          <w:spacing w:val="6"/>
          <w:sz w:val="32"/>
          <w:szCs w:val="32"/>
        </w:rPr>
        <w:t>新业态。</w:t>
      </w:r>
    </w:p>
    <w:bookmarkEnd w:id="26"/>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1.大力培育发展电子商务。</w:t>
      </w:r>
      <w:r>
        <w:rPr>
          <w:rFonts w:hint="eastAsia" w:ascii="仿宋_GB2312" w:eastAsia="仿宋_GB2312"/>
          <w:spacing w:val="6"/>
          <w:sz w:val="32"/>
          <w:szCs w:val="32"/>
        </w:rPr>
        <w:t>大力引进国内外知名电商平台来聊城市设立功能性区域中心，着力引进国内外成长性好、发展迅猛的电子商务企业来聊投资。推动本地电子商务龙头企业加快发展，鼓励做大做强，积极培育本地电子商务平台。充分发挥现有电子商务示范基地优势，提升电子商务示范效应和辐射带动能力。持续推进电子商务进农村、进社区，完善电子商务末端配送体系。</w:t>
      </w:r>
      <w:r>
        <w:rPr>
          <w:rFonts w:hint="eastAsia" w:ascii="仿宋_GB2312" w:hAnsi="仿宋_GB2312" w:eastAsia="仿宋_GB2312" w:cs="仿宋_GB2312"/>
          <w:bCs/>
          <w:kern w:val="0"/>
          <w:sz w:val="32"/>
          <w:szCs w:val="32"/>
        </w:rPr>
        <w:t>依托我市农产品、钢管轴承等优势产业，扩大网上销售渠道，充分发挥电商龙头企业带动作用；大力发展农村电商，促进农产品上行。</w:t>
      </w:r>
    </w:p>
    <w:p>
      <w:pPr>
        <w:spacing w:line="360" w:lineRule="auto"/>
        <w:ind w:firstLine="667" w:firstLineChars="200"/>
        <w:rPr>
          <w:rFonts w:ascii="仿宋_GB2312" w:eastAsia="仿宋_GB2312"/>
          <w:spacing w:val="6"/>
          <w:sz w:val="32"/>
          <w:szCs w:val="32"/>
        </w:rPr>
      </w:pPr>
      <w:bookmarkStart w:id="27" w:name="_Hlk44671497"/>
      <w:r>
        <w:rPr>
          <w:rFonts w:hint="eastAsia" w:ascii="仿宋_GB2312" w:eastAsia="仿宋_GB2312"/>
          <w:b/>
          <w:spacing w:val="6"/>
          <w:sz w:val="32"/>
          <w:szCs w:val="32"/>
        </w:rPr>
        <w:t>2.推进线上线下深度融合</w:t>
      </w:r>
      <w:bookmarkEnd w:id="27"/>
      <w:r>
        <w:rPr>
          <w:rFonts w:hint="eastAsia" w:ascii="仿宋_GB2312" w:eastAsia="仿宋_GB2312"/>
          <w:b/>
          <w:spacing w:val="6"/>
          <w:sz w:val="32"/>
          <w:szCs w:val="32"/>
        </w:rPr>
        <w:t>。</w:t>
      </w:r>
      <w:r>
        <w:rPr>
          <w:rFonts w:hint="eastAsia" w:ascii="仿宋_GB2312" w:eastAsia="仿宋_GB2312"/>
          <w:spacing w:val="6"/>
          <w:sz w:val="32"/>
          <w:szCs w:val="32"/>
        </w:rPr>
        <w:t>鼓励传统零售企业拓展线上业务，推动生活服务业在线化发展，加快移动电子商务在购物、服务消费和交通、医疗、教育、旅游、养老</w:t>
      </w:r>
      <w:r>
        <w:rPr>
          <w:rFonts w:hint="eastAsia" w:ascii="仿宋_GB2312" w:eastAsia="仿宋_GB2312"/>
          <w:spacing w:val="6"/>
          <w:sz w:val="32"/>
          <w:szCs w:val="32"/>
          <w:lang w:eastAsia="zh-CN"/>
        </w:rPr>
        <w:t>、</w:t>
      </w:r>
      <w:r>
        <w:rPr>
          <w:rFonts w:hint="eastAsia" w:ascii="仿宋_GB2312" w:eastAsia="仿宋_GB2312"/>
          <w:spacing w:val="6"/>
          <w:sz w:val="32"/>
          <w:szCs w:val="32"/>
          <w:lang w:val="en-US" w:eastAsia="zh-CN"/>
        </w:rPr>
        <w:t>家政</w:t>
      </w:r>
      <w:r>
        <w:rPr>
          <w:rFonts w:hint="eastAsia" w:ascii="仿宋_GB2312" w:eastAsia="仿宋_GB2312"/>
          <w:spacing w:val="6"/>
          <w:sz w:val="32"/>
          <w:szCs w:val="32"/>
        </w:rPr>
        <w:t>等领域的创新应用。促进供应链管理与电子商务深度融合，以信息化平台为基础，以需求为导向，探索“互联网+”线上线下结合的新模式新业态。</w:t>
      </w:r>
    </w:p>
    <w:p>
      <w:pPr>
        <w:spacing w:line="360" w:lineRule="auto"/>
        <w:ind w:firstLine="667" w:firstLineChars="200"/>
        <w:rPr>
          <w:rFonts w:ascii="仿宋_GB2312" w:eastAsia="仿宋_GB2312"/>
          <w:spacing w:val="6"/>
          <w:sz w:val="32"/>
          <w:szCs w:val="32"/>
        </w:rPr>
      </w:pPr>
      <w:bookmarkStart w:id="28" w:name="_Hlk44671515"/>
      <w:r>
        <w:rPr>
          <w:rFonts w:hint="eastAsia" w:ascii="仿宋_GB2312" w:eastAsia="仿宋_GB2312"/>
          <w:b/>
          <w:spacing w:val="6"/>
          <w:sz w:val="32"/>
          <w:szCs w:val="32"/>
        </w:rPr>
        <w:t>3.创新发展智慧商务</w:t>
      </w:r>
      <w:bookmarkEnd w:id="28"/>
      <w:r>
        <w:rPr>
          <w:rFonts w:hint="eastAsia" w:ascii="仿宋_GB2312" w:eastAsia="仿宋_GB2312"/>
          <w:b/>
          <w:spacing w:val="6"/>
          <w:sz w:val="32"/>
          <w:szCs w:val="32"/>
        </w:rPr>
        <w:t>。</w:t>
      </w:r>
      <w:r>
        <w:rPr>
          <w:rFonts w:hint="eastAsia" w:ascii="仿宋_GB2312" w:eastAsia="仿宋_GB2312"/>
          <w:spacing w:val="6"/>
          <w:sz w:val="32"/>
          <w:szCs w:val="32"/>
        </w:rPr>
        <w:t>结合知名商街重大工程，同步推进智慧商街建设，打造基础设施完善、服务功能突出、产业生态健全、创新应用广泛的智慧商务城市。推动数据要素市场化发展，强化数字化产品和服务在商务领域的渗透和应用。支持智慧服务平台建设，推动市场商务活动与政府监管服务深</w:t>
      </w:r>
      <w:r>
        <w:rPr>
          <w:rFonts w:hint="eastAsia" w:ascii="仿宋_GB2312" w:eastAsia="仿宋_GB2312"/>
          <w:spacing w:val="6"/>
          <w:sz w:val="32"/>
          <w:szCs w:val="32"/>
          <w:lang w:val="en-US" w:eastAsia="zh-CN"/>
        </w:rPr>
        <w:t>度</w:t>
      </w:r>
      <w:r>
        <w:rPr>
          <w:rFonts w:hint="eastAsia" w:ascii="仿宋_GB2312" w:eastAsia="仿宋_GB2312"/>
          <w:spacing w:val="6"/>
          <w:sz w:val="32"/>
          <w:szCs w:val="32"/>
        </w:rPr>
        <w:t>融合。加快普及智慧商务理念，增强政府、企业和相关组织的智慧商务意识。</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shd w:val="clear" w:color="auto" w:fill="D8D8D8" w:themeFill="background1" w:themeFillShade="D9"/>
          </w:tcPr>
          <w:p>
            <w:pPr>
              <w:jc w:val="center"/>
              <w:rPr>
                <w:rFonts w:ascii="黑体" w:hAnsi="黑体" w:eastAsia="黑体" w:cs="宋体"/>
                <w:kern w:val="0"/>
                <w:sz w:val="28"/>
                <w:szCs w:val="28"/>
              </w:rPr>
            </w:pPr>
            <w:r>
              <w:rPr>
                <w:rFonts w:hint="eastAsia" w:ascii="黑体" w:hAnsi="黑体" w:eastAsia="黑体" w:cs="宋体"/>
                <w:kern w:val="0"/>
                <w:sz w:val="28"/>
                <w:szCs w:val="28"/>
              </w:rPr>
              <w:t>专栏  数字商务重点项目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shd w:val="clear" w:color="auto" w:fill="F1F1F1" w:themeFill="background1" w:themeFillShade="F2"/>
          </w:tcPr>
          <w:p>
            <w:pPr>
              <w:autoSpaceDE w:val="0"/>
              <w:autoSpaceDN w:val="0"/>
              <w:adjustRightInd w:val="0"/>
              <w:spacing w:line="360" w:lineRule="auto"/>
              <w:ind w:firstLine="482" w:firstLineChars="200"/>
              <w:jc w:val="left"/>
              <w:rPr>
                <w:rFonts w:ascii="仿宋_GB2312" w:hAnsi="微软雅黑" w:eastAsia="仿宋_GB2312" w:cs="宋体"/>
                <w:kern w:val="0"/>
                <w:sz w:val="24"/>
              </w:rPr>
            </w:pPr>
            <w:r>
              <w:rPr>
                <w:rFonts w:hint="eastAsia" w:ascii="仿宋_GB2312" w:hAnsi="微软雅黑" w:eastAsia="仿宋_GB2312" w:cs="宋体"/>
                <w:b/>
                <w:kern w:val="0"/>
                <w:sz w:val="24"/>
              </w:rPr>
              <w:t>1.电商产业园项目。</w:t>
            </w:r>
            <w:r>
              <w:rPr>
                <w:rFonts w:hint="eastAsia" w:ascii="仿宋_GB2312" w:hAnsi="微软雅黑" w:eastAsia="仿宋_GB2312" w:cs="宋体"/>
                <w:kern w:val="0"/>
                <w:sz w:val="24"/>
              </w:rPr>
              <w:t>发挥农产品加工行业优势，鼓励本地规模以上企业加强与阿里巴巴、京东、苏宁等知名平台在新零售、跨境电商等方面的合作，力争打造1个省内有影响力的电商龙头企业。加大人才引进、培训和金融支持力度，强化电商职业培训，培育电商专业人才。</w:t>
            </w:r>
          </w:p>
          <w:p>
            <w:pPr>
              <w:autoSpaceDE w:val="0"/>
              <w:autoSpaceDN w:val="0"/>
              <w:adjustRightInd w:val="0"/>
              <w:spacing w:line="360" w:lineRule="auto"/>
              <w:ind w:firstLine="482" w:firstLineChars="200"/>
              <w:jc w:val="left"/>
              <w:rPr>
                <w:rFonts w:ascii="仿宋_GB2312" w:hAnsi="微软雅黑" w:eastAsia="仿宋_GB2312" w:cs="宋体"/>
                <w:kern w:val="0"/>
                <w:sz w:val="24"/>
              </w:rPr>
            </w:pPr>
            <w:r>
              <w:rPr>
                <w:rFonts w:hint="eastAsia" w:ascii="仿宋_GB2312" w:hAnsi="微软雅黑" w:eastAsia="仿宋_GB2312" w:cs="宋体"/>
                <w:b/>
                <w:kern w:val="0"/>
                <w:sz w:val="24"/>
              </w:rPr>
              <w:t>2.</w:t>
            </w:r>
            <w:r>
              <w:rPr>
                <w:rFonts w:ascii="仿宋_GB2312" w:hAnsi="微软雅黑" w:eastAsia="仿宋_GB2312" w:cs="宋体"/>
                <w:b/>
                <w:kern w:val="0"/>
                <w:sz w:val="24"/>
              </w:rPr>
              <w:t>聊城智慧产业新城</w:t>
            </w:r>
            <w:r>
              <w:rPr>
                <w:rFonts w:hint="eastAsia" w:ascii="仿宋_GB2312" w:hAnsi="微软雅黑" w:eastAsia="仿宋_GB2312" w:cs="宋体"/>
                <w:b/>
                <w:kern w:val="0"/>
                <w:sz w:val="24"/>
              </w:rPr>
              <w:t>项目。</w:t>
            </w:r>
            <w:r>
              <w:rPr>
                <w:rFonts w:ascii="仿宋_GB2312" w:hAnsi="微软雅黑" w:eastAsia="仿宋_GB2312" w:cs="宋体"/>
                <w:kern w:val="0"/>
                <w:sz w:val="24"/>
              </w:rPr>
              <w:t>以山东智汇谷实业有限公司为投资建设主体，依托聊城农业、文化特色资源优势，以</w:t>
            </w:r>
            <w:r>
              <w:rPr>
                <w:rFonts w:hint="eastAsia" w:ascii="仿宋_GB2312" w:hAnsi="微软雅黑" w:eastAsia="仿宋_GB2312" w:cs="宋体"/>
                <w:kern w:val="0"/>
                <w:sz w:val="24"/>
              </w:rPr>
              <w:t>“互联网+”为</w:t>
            </w:r>
            <w:r>
              <w:rPr>
                <w:rFonts w:ascii="仿宋_GB2312" w:hAnsi="微软雅黑" w:eastAsia="仿宋_GB2312" w:cs="宋体"/>
                <w:kern w:val="0"/>
                <w:sz w:val="24"/>
              </w:rPr>
              <w:t>核心支撑，打造以智慧农业电商为主，集智慧双创、智慧物流、智慧金融、智慧教育、智慧展销、智慧健康等为一体的聊城智慧产业新城</w:t>
            </w:r>
            <w:r>
              <w:rPr>
                <w:rFonts w:hint="eastAsia" w:ascii="仿宋_GB2312" w:hAnsi="微软雅黑" w:eastAsia="仿宋_GB2312" w:cs="宋体"/>
                <w:kern w:val="0"/>
                <w:sz w:val="24"/>
              </w:rPr>
              <w:t>。</w:t>
            </w:r>
            <w:r>
              <w:rPr>
                <w:rFonts w:ascii="仿宋_GB2312" w:hAnsi="微软雅黑" w:eastAsia="仿宋_GB2312" w:cs="宋体"/>
                <w:kern w:val="0"/>
                <w:sz w:val="24"/>
              </w:rPr>
              <w:t>建设内容：规划建设电商运营中心，搭建智慧电商综合服务平台，集聚一批信息技术服务、网络推广、售后服务、代运营、交易结算等企业集聚。建设智慧农业电商孵化基地，依托合作伙伴阿里学院、淘宝大学等资源，为入孵企业提供云技术指导、创业指导、电商培训、营销类培训等。建设智慧展示中心、数字农业互动体验中心等，宣传推广聊城特色农产品等优势资源。围绕电商配套需求，建设智慧物流中心，集运输信息、物流资源交易、大宗商品交易服务于一体，为用户提供信息发布、线路优化、仓配管理、追踪溯源、数据分析、信用评价、客户咨询等一体化服务</w:t>
            </w:r>
            <w:r>
              <w:rPr>
                <w:rFonts w:hint="eastAsia" w:ascii="仿宋_GB2312" w:hAnsi="微软雅黑" w:eastAsia="仿宋_GB2312" w:cs="宋体"/>
                <w:kern w:val="0"/>
                <w:sz w:val="24"/>
              </w:rPr>
              <w:t>。</w:t>
            </w:r>
          </w:p>
          <w:p>
            <w:pPr>
              <w:spacing w:line="360" w:lineRule="auto"/>
              <w:ind w:firstLine="482" w:firstLineChars="200"/>
              <w:rPr>
                <w:rFonts w:ascii="仿宋_GB2312" w:hAnsi="微软雅黑" w:eastAsia="仿宋_GB2312" w:cs="宋体"/>
                <w:color w:val="auto"/>
                <w:kern w:val="0"/>
                <w:sz w:val="24"/>
              </w:rPr>
            </w:pPr>
            <w:r>
              <w:rPr>
                <w:rFonts w:hint="eastAsia" w:ascii="仿宋_GB2312" w:hAnsi="微软雅黑" w:eastAsia="仿宋_GB2312" w:cs="宋体"/>
                <w:b/>
                <w:bCs w:val="0"/>
                <w:color w:val="auto"/>
                <w:kern w:val="0"/>
                <w:sz w:val="24"/>
              </w:rPr>
              <w:t>3.茌平区智慧冷链物流建设项目。</w:t>
            </w:r>
            <w:r>
              <w:rPr>
                <w:rFonts w:hint="eastAsia" w:ascii="仿宋_GB2312" w:hAnsi="微软雅黑" w:eastAsia="仿宋_GB2312" w:cs="宋体"/>
                <w:b w:val="0"/>
                <w:bCs/>
                <w:color w:val="auto"/>
                <w:kern w:val="0"/>
                <w:sz w:val="24"/>
              </w:rPr>
              <w:t>项目以聊城市茌平区顺利智慧物流有限公司为建设主体，以乡村振兴战略和农业供给侧改革为己任，以全国农产品互联互通为目标，通过建设交易市场、冷链设施、加工设备等基础设施打造农产品、农副产品及生鲜果蔬O2O供应链体系。 项目总投资3亿元，总建筑面积109360㎡，主要建设内容:1、建设城区农副产品及生鲜果蔬冷链储存中心。建设低温冷库、恒温冷库、恒温加工车间、恒温交易车间等冷链物流基础设施。配套建设蔬菜、水果、农副产品、冻品交易场所。2、建设供销供应链运营中心。运用本公司互联网优势建立农业大数据，一站式农产品流通及品控平台。3、建设温陈街道办事处、乐平铺镇、贾寨镇、胡屯镇四个果蔬冷链储存中心。依托乡镇特色农产品优势，配备农产品预冷、清选分级、分拣包装、保鲜、初加工、冷藏冷冻及冷链运输等设施设备，推进商品化包装与物流保鲜包装一体化，采用移动式快速预冷设备，进一步推进“农社对接”、“农超对接”。</w:t>
            </w:r>
          </w:p>
          <w:p>
            <w:pPr>
              <w:autoSpaceDE w:val="0"/>
              <w:autoSpaceDN w:val="0"/>
              <w:adjustRightInd w:val="0"/>
              <w:spacing w:line="360" w:lineRule="auto"/>
              <w:ind w:firstLine="482" w:firstLineChars="200"/>
              <w:jc w:val="left"/>
              <w:rPr>
                <w:rFonts w:hint="eastAsia" w:ascii="仿宋_GB2312" w:hAnsi="微软雅黑" w:eastAsia="仿宋_GB2312" w:cs="宋体"/>
                <w:b w:val="0"/>
                <w:bCs/>
                <w:color w:val="auto"/>
                <w:kern w:val="0"/>
                <w:sz w:val="24"/>
              </w:rPr>
            </w:pPr>
            <w:r>
              <w:rPr>
                <w:rFonts w:hint="eastAsia" w:ascii="仿宋_GB2312" w:hAnsi="微软雅黑" w:eastAsia="仿宋_GB2312" w:cs="宋体"/>
                <w:b/>
                <w:color w:val="auto"/>
                <w:kern w:val="0"/>
                <w:sz w:val="24"/>
                <w:lang w:val="en-US" w:eastAsia="zh-CN"/>
              </w:rPr>
              <w:t>4.</w:t>
            </w:r>
            <w:r>
              <w:rPr>
                <w:rFonts w:hint="eastAsia" w:ascii="仿宋_GB2312" w:hAnsi="微软雅黑" w:eastAsia="仿宋_GB2312" w:cs="宋体"/>
                <w:b/>
                <w:color w:val="auto"/>
                <w:kern w:val="0"/>
                <w:sz w:val="24"/>
              </w:rPr>
              <w:t>鲁西（高唐）数字经济产业园项目</w:t>
            </w:r>
            <w:r>
              <w:rPr>
                <w:rFonts w:hint="eastAsia" w:ascii="仿宋_GB2312" w:hAnsi="微软雅黑" w:eastAsia="仿宋_GB2312" w:cs="宋体"/>
                <w:b/>
                <w:color w:val="auto"/>
                <w:kern w:val="0"/>
                <w:sz w:val="24"/>
                <w:lang w:eastAsia="zh-CN"/>
              </w:rPr>
              <w:t>。</w:t>
            </w:r>
            <w:r>
              <w:rPr>
                <w:rFonts w:hint="eastAsia" w:ascii="仿宋_GB2312" w:hAnsi="微软雅黑" w:eastAsia="仿宋_GB2312" w:cs="宋体"/>
                <w:b w:val="0"/>
                <w:bCs/>
                <w:color w:val="auto"/>
                <w:kern w:val="0"/>
                <w:sz w:val="24"/>
                <w:lang w:val="en-US" w:eastAsia="zh-CN"/>
              </w:rPr>
              <w:t>该项目</w:t>
            </w:r>
            <w:r>
              <w:rPr>
                <w:rFonts w:hint="eastAsia" w:ascii="仿宋_GB2312" w:hAnsi="微软雅黑" w:eastAsia="仿宋_GB2312" w:cs="宋体"/>
                <w:b w:val="0"/>
                <w:bCs/>
                <w:color w:val="auto"/>
                <w:kern w:val="0"/>
                <w:sz w:val="24"/>
              </w:rPr>
              <w:t>位于聊城市高唐县内，位于高唐县滨湖路以西，滨河路南侧，总占地面积约 135 亩(最终以红线面积为准)，项目规划总建筑面积约为 18 万平方米，预计总投资规模达 15亿元。鲁西数字经济产业园项目整体规划为数字经济运营中心、数字经济产业大厦、数字企业总部基地、新商业中心、未来社区5大板块，该项目是集产业办公、产业孵化、产业服务、文化商业、创业者生活配套于一体的综合性数字经济产业平台。项目目标：将鲁西数字经济产业园打造成为高唐城市新名片、国家级孵化器、山东省数字经济综试区示范园区、山东省新旧动能转换示范高地、聊城市数字企业区域总部基地、高唐县创新创业新平台。</w:t>
            </w:r>
          </w:p>
          <w:p>
            <w:pPr>
              <w:autoSpaceDE w:val="0"/>
              <w:autoSpaceDN w:val="0"/>
              <w:adjustRightInd w:val="0"/>
              <w:spacing w:line="360" w:lineRule="auto"/>
              <w:ind w:firstLine="482" w:firstLineChars="200"/>
              <w:jc w:val="left"/>
              <w:rPr>
                <w:rFonts w:ascii="仿宋_GB2312" w:hAnsi="微软雅黑" w:eastAsia="仿宋_GB2312" w:cs="宋体"/>
                <w:kern w:val="0"/>
                <w:sz w:val="24"/>
              </w:rPr>
            </w:pPr>
            <w:r>
              <w:rPr>
                <w:rFonts w:hint="eastAsia" w:ascii="仿宋_GB2312" w:hAnsi="微软雅黑" w:eastAsia="仿宋_GB2312" w:cs="宋体"/>
                <w:b/>
                <w:color w:val="FF0000"/>
                <w:kern w:val="0"/>
                <w:sz w:val="24"/>
                <w:lang w:val="en-US" w:eastAsia="zh-CN"/>
              </w:rPr>
              <w:t>5</w:t>
            </w:r>
            <w:r>
              <w:rPr>
                <w:rFonts w:hint="eastAsia" w:ascii="仿宋_GB2312" w:hAnsi="微软雅黑" w:eastAsia="仿宋_GB2312" w:cs="宋体"/>
                <w:b/>
                <w:color w:val="FF0000"/>
                <w:kern w:val="0"/>
                <w:sz w:val="24"/>
              </w:rPr>
              <w:t>.智慧生活及配套功能区配套建设项目。</w:t>
            </w:r>
            <w:r>
              <w:rPr>
                <w:rFonts w:hint="eastAsia" w:ascii="仿宋_GB2312" w:hAnsi="微软雅黑" w:eastAsia="仿宋_GB2312" w:cs="宋体"/>
                <w:color w:val="FF0000"/>
                <w:kern w:val="0"/>
                <w:sz w:val="24"/>
              </w:rPr>
              <w:t>在可利用土地地下计划建设立体停车场，配套规划建设用于产业园村庄搬迁的高标准住宅小区，小区周围配套建设教育、医疗等公共服务资源。地上规划建设室内文化旅游设施，带动周围地域经济的发展，最终实现一个产业带动一个城市，产城一体化、商旅同步化、用工本地化。</w:t>
            </w:r>
          </w:p>
        </w:tc>
      </w:tr>
    </w:tbl>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p>
    <w:p>
      <w:pPr>
        <w:spacing w:line="360" w:lineRule="auto"/>
        <w:ind w:firstLine="664" w:firstLineChars="200"/>
        <w:rPr>
          <w:rFonts w:ascii="仿宋_GB2312" w:eastAsia="仿宋_GB2312"/>
          <w:spacing w:val="6"/>
          <w:sz w:val="32"/>
          <w:szCs w:val="32"/>
        </w:rPr>
      </w:pPr>
    </w:p>
    <w:p>
      <w:pPr>
        <w:pStyle w:val="3"/>
        <w:spacing w:beforeLines="50" w:afterLines="50" w:line="360" w:lineRule="auto"/>
        <w:rPr>
          <w:rFonts w:ascii="Times New Roman" w:hAnsi="Times New Roman" w:eastAsia="华文中宋" w:cs="Times New Roman"/>
          <w:sz w:val="36"/>
          <w:szCs w:val="36"/>
        </w:rPr>
      </w:pPr>
      <w:bookmarkStart w:id="29" w:name="_Toc68698336"/>
      <w:r>
        <w:rPr>
          <w:rFonts w:hint="eastAsia" w:ascii="Times New Roman" w:hAnsi="Times New Roman" w:eastAsia="华文中宋" w:cs="Times New Roman"/>
          <w:sz w:val="36"/>
          <w:szCs w:val="36"/>
        </w:rPr>
        <w:t>第五章  打造商务发展重大工程</w:t>
      </w:r>
      <w:bookmarkEnd w:id="29"/>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坚持“做大增量，优化存量，技术引领”原则，重点实施“基础设施提升、融合发展引领、知名商街带动、对外开放示范”四大工程，全力促进科学发展、创新发展、高质量发展。</w:t>
      </w:r>
    </w:p>
    <w:p>
      <w:pPr>
        <w:pStyle w:val="4"/>
        <w:spacing w:before="156" w:after="156" w:line="415" w:lineRule="auto"/>
        <w:jc w:val="center"/>
        <w:rPr>
          <w:rFonts w:ascii="楷体" w:hAnsi="楷体" w:eastAsia="楷体"/>
        </w:rPr>
      </w:pPr>
      <w:bookmarkStart w:id="30" w:name="_Toc68698337"/>
      <w:r>
        <w:rPr>
          <w:rFonts w:hint="eastAsia" w:ascii="楷体" w:hAnsi="楷体" w:eastAsia="楷体"/>
        </w:rPr>
        <w:t>第一节  基础设施提升工程</w:t>
      </w:r>
      <w:bookmarkEnd w:id="30"/>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优化基础设施服务水平，完善交通设施建设，加快推进新一代信息基础设施建设，提升基础设施信息化便利化水平。完善信息服务平台和数字化交易配套服务设施，创新大数据、物联网等信息技术应用，为商贸发展提供基础支撑。</w:t>
      </w:r>
    </w:p>
    <w:p>
      <w:pPr>
        <w:spacing w:line="360" w:lineRule="auto"/>
        <w:ind w:firstLine="667" w:firstLineChars="200"/>
        <w:rPr>
          <w:rFonts w:ascii="仿宋_GB2312" w:eastAsia="仿宋_GB2312"/>
          <w:spacing w:val="6"/>
          <w:sz w:val="32"/>
          <w:szCs w:val="32"/>
        </w:rPr>
      </w:pPr>
      <w:bookmarkStart w:id="31" w:name="_Hlk44670876"/>
      <w:r>
        <w:rPr>
          <w:rFonts w:hint="eastAsia" w:ascii="仿宋_GB2312" w:eastAsia="仿宋_GB2312"/>
          <w:b/>
          <w:spacing w:val="6"/>
          <w:sz w:val="32"/>
          <w:szCs w:val="32"/>
        </w:rPr>
        <w:t>1.消费基础设施</w:t>
      </w:r>
      <w:bookmarkEnd w:id="31"/>
      <w:r>
        <w:rPr>
          <w:rFonts w:hint="eastAsia" w:ascii="仿宋_GB2312" w:eastAsia="仿宋_GB2312"/>
          <w:b/>
          <w:spacing w:val="6"/>
          <w:sz w:val="32"/>
          <w:szCs w:val="32"/>
        </w:rPr>
        <w:t>。</w:t>
      </w:r>
      <w:r>
        <w:rPr>
          <w:rFonts w:hint="eastAsia" w:ascii="仿宋_GB2312" w:eastAsia="仿宋_GB2312"/>
          <w:spacing w:val="6"/>
          <w:sz w:val="32"/>
          <w:szCs w:val="32"/>
        </w:rPr>
        <w:t>完善市内主要消费区域的交通站点建设，优化交通设施布局，推动车站到主要商圈、景区交通方便换乘、高效衔接，结合公交站点建设商圈立体慢行交通系统。加快推进以5G为核心的新一代信息基础设施建设，推进商圈、景区（点）、车站、宾馆饭店等主要消费场所区域光纤宽带、无线网络、5G信号等全覆盖。</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2.商贸</w:t>
      </w:r>
      <w:r>
        <w:rPr>
          <w:rFonts w:hint="eastAsia" w:ascii="仿宋_GB2312" w:eastAsia="仿宋_GB2312"/>
          <w:b/>
          <w:spacing w:val="6"/>
          <w:sz w:val="32"/>
          <w:szCs w:val="32"/>
          <w:lang w:val="en-US" w:eastAsia="zh-CN"/>
        </w:rPr>
        <w:t>物流基础设施</w:t>
      </w:r>
      <w:r>
        <w:rPr>
          <w:rFonts w:hint="eastAsia" w:ascii="仿宋_GB2312" w:eastAsia="仿宋_GB2312"/>
          <w:b/>
          <w:spacing w:val="6"/>
          <w:sz w:val="32"/>
          <w:szCs w:val="32"/>
        </w:rPr>
        <w:t>。</w:t>
      </w:r>
      <w:r>
        <w:rPr>
          <w:rFonts w:hint="eastAsia" w:ascii="仿宋_GB2312" w:eastAsia="仿宋_GB2312"/>
          <w:spacing w:val="6"/>
          <w:sz w:val="32"/>
          <w:szCs w:val="32"/>
        </w:rPr>
        <w:t>依托铁路货站、高速公路等优势条件，建设集电子商务、集中采购、快递分拨配送、展示交易、流通加工、生鲜冷链功能、口岸功能于一体的商贸物流园，完善包装、配送、加工、联运、仓储等系列货运服务。加快为工业企业提供物流服务，健全电子产品、生活用品、食品、工业用品等城市配送服务。</w:t>
      </w:r>
    </w:p>
    <w:p>
      <w:pPr>
        <w:spacing w:line="360" w:lineRule="auto"/>
        <w:ind w:firstLine="667" w:firstLineChars="200"/>
        <w:rPr>
          <w:rFonts w:ascii="仿宋_GB2312" w:eastAsia="仿宋_GB2312"/>
          <w:spacing w:val="6"/>
          <w:sz w:val="32"/>
          <w:szCs w:val="32"/>
        </w:rPr>
      </w:pPr>
      <w:bookmarkStart w:id="32" w:name="_Hlk43452237"/>
      <w:r>
        <w:rPr>
          <w:rFonts w:hint="eastAsia" w:ascii="仿宋_GB2312" w:eastAsia="仿宋_GB2312"/>
          <w:b/>
          <w:spacing w:val="6"/>
          <w:sz w:val="32"/>
          <w:szCs w:val="32"/>
        </w:rPr>
        <w:t>3.</w:t>
      </w:r>
      <w:r>
        <w:rPr>
          <w:rFonts w:hint="eastAsia" w:ascii="仿宋_GB2312" w:eastAsia="仿宋_GB2312"/>
          <w:b/>
          <w:spacing w:val="6"/>
          <w:sz w:val="32"/>
          <w:szCs w:val="32"/>
          <w:lang w:val="en-US" w:eastAsia="zh-CN"/>
        </w:rPr>
        <w:t>外贸</w:t>
      </w:r>
      <w:r>
        <w:rPr>
          <w:rFonts w:hint="eastAsia" w:ascii="仿宋_GB2312" w:eastAsia="仿宋_GB2312"/>
          <w:b/>
          <w:spacing w:val="6"/>
          <w:sz w:val="32"/>
          <w:szCs w:val="32"/>
        </w:rPr>
        <w:t>基础设施</w:t>
      </w:r>
      <w:bookmarkEnd w:id="32"/>
      <w:r>
        <w:rPr>
          <w:rFonts w:hint="eastAsia" w:ascii="仿宋_GB2312" w:eastAsia="仿宋_GB2312"/>
          <w:b/>
          <w:spacing w:val="6"/>
          <w:sz w:val="32"/>
          <w:szCs w:val="32"/>
        </w:rPr>
        <w:t>。</w:t>
      </w:r>
      <w:r>
        <w:rPr>
          <w:rFonts w:hint="eastAsia" w:ascii="仿宋_GB2312" w:eastAsia="仿宋_GB2312"/>
          <w:spacing w:val="6"/>
          <w:sz w:val="32"/>
          <w:szCs w:val="32"/>
        </w:rPr>
        <w:t>加快完善国际贸易基础设施</w:t>
      </w:r>
      <w:r>
        <w:rPr>
          <w:rFonts w:hint="eastAsia" w:ascii="仿宋_GB2312" w:eastAsia="仿宋_GB2312"/>
          <w:spacing w:val="6"/>
          <w:sz w:val="32"/>
          <w:szCs w:val="32"/>
          <w:lang w:eastAsia="zh-CN"/>
        </w:rPr>
        <w:t>，</w:t>
      </w:r>
      <w:r>
        <w:rPr>
          <w:rFonts w:hint="eastAsia" w:ascii="仿宋_GB2312" w:eastAsia="仿宋_GB2312"/>
          <w:spacing w:val="6"/>
          <w:sz w:val="32"/>
          <w:szCs w:val="32"/>
        </w:rPr>
        <w:t>加大力度建设现代仓储设施、运输与配送网络、海外仓等基础设施，重点发展货物存储及保税仓储，国际采购、分销和配送，商品展示等功能，提供货物组织运输、货运信息发布、货运中转及第三方物流服务。支持数字贸易出口基地建设，扩大特色服务贸易出口规模。</w:t>
      </w:r>
    </w:p>
    <w:p>
      <w:pPr>
        <w:pStyle w:val="4"/>
        <w:spacing w:before="156" w:after="156" w:line="415" w:lineRule="auto"/>
        <w:jc w:val="center"/>
        <w:rPr>
          <w:rFonts w:ascii="楷体" w:hAnsi="楷体" w:eastAsia="楷体"/>
        </w:rPr>
      </w:pPr>
      <w:bookmarkStart w:id="33" w:name="_Toc31729"/>
      <w:bookmarkStart w:id="34" w:name="_Toc509409454"/>
      <w:bookmarkStart w:id="35" w:name="_Toc17610"/>
      <w:bookmarkStart w:id="36" w:name="_Toc68698338"/>
      <w:r>
        <w:rPr>
          <w:rFonts w:hint="eastAsia" w:ascii="楷体" w:hAnsi="楷体" w:eastAsia="楷体"/>
        </w:rPr>
        <w:t>第二节  融合发展</w:t>
      </w:r>
      <w:bookmarkEnd w:id="33"/>
      <w:bookmarkEnd w:id="34"/>
      <w:bookmarkEnd w:id="35"/>
      <w:r>
        <w:rPr>
          <w:rFonts w:hint="eastAsia" w:ascii="楷体" w:hAnsi="楷体" w:eastAsia="楷体"/>
        </w:rPr>
        <w:t>引领工程</w:t>
      </w:r>
      <w:bookmarkEnd w:id="36"/>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1.商业与会展业融合发展。</w:t>
      </w:r>
      <w:r>
        <w:rPr>
          <w:rFonts w:hint="eastAsia" w:ascii="仿宋_GB2312" w:eastAsia="仿宋_GB2312"/>
          <w:spacing w:val="6"/>
          <w:sz w:val="32"/>
          <w:szCs w:val="32"/>
        </w:rPr>
        <w:t>促进商业与会展业的融合发展，利用会展业对社会发展的强大拉动作用，紧抓会展举办机遇，发展住宿餐饮业、品质购物、旅游业等。充分利用本地星级酒店、会展中心等基础设施，举办各类会展、会议等活动，促进人流集聚。</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2.商业与农业融合发展。</w:t>
      </w:r>
      <w:r>
        <w:rPr>
          <w:rFonts w:hint="eastAsia" w:ascii="仿宋_GB2312" w:eastAsia="仿宋_GB2312"/>
          <w:spacing w:val="6"/>
          <w:sz w:val="32"/>
          <w:szCs w:val="32"/>
        </w:rPr>
        <w:t>以近郊生态农业、特色农业小镇等发展为抓手，促进农业、旅游业和商业融合发展。推动农业采摘、生活体验等活动，并以此为基础将农村休闲体验游进行扩大升级，主打原生态健康品牌，促进莘县蔬菜等特色农产品品牌建设。</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3.商业与旅游业融合发展。</w:t>
      </w:r>
      <w:r>
        <w:rPr>
          <w:rFonts w:hint="eastAsia" w:ascii="仿宋_GB2312" w:eastAsia="仿宋_GB2312"/>
          <w:spacing w:val="6"/>
          <w:sz w:val="32"/>
          <w:szCs w:val="32"/>
        </w:rPr>
        <w:t>聊城市旅游资源丰富</w:t>
      </w:r>
      <w:r>
        <w:rPr>
          <w:rFonts w:hint="eastAsia" w:ascii="仿宋_GB2312" w:eastAsia="仿宋_GB2312"/>
          <w:spacing w:val="6"/>
          <w:sz w:val="32"/>
          <w:szCs w:val="32"/>
          <w:lang w:eastAsia="zh-CN"/>
        </w:rPr>
        <w:t>，</w:t>
      </w:r>
      <w:r>
        <w:rPr>
          <w:rFonts w:hint="eastAsia" w:ascii="仿宋_GB2312" w:eastAsia="仿宋_GB2312"/>
          <w:spacing w:val="6"/>
          <w:sz w:val="32"/>
          <w:szCs w:val="32"/>
        </w:rPr>
        <w:t>规划期内，重点加快形成聊城市旅游整体空间布局，完善相应商业配套设施建设，促进商业与旅游业的加速融合。在旅游景区、中心城区等发展旅游综合体、旅游特色商业街、主题购物公园等商业载体，重点打造古城·老业态文化街、古城·老字号一条街、古城·美食文化街、古城·文娱休闲街等，将本地文化特色体现到商业载体建设中，积极推动文艺表演、特色节庆活动等，形成文化、旅游、住宿餐饮、休闲购物等多行业联动。</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4.产城融合发展。</w:t>
      </w:r>
      <w:r>
        <w:rPr>
          <w:rFonts w:hint="eastAsia" w:ascii="仿宋_GB2312" w:eastAsia="仿宋_GB2312"/>
          <w:spacing w:val="6"/>
          <w:sz w:val="32"/>
          <w:szCs w:val="32"/>
          <w:lang w:val="en-US" w:eastAsia="zh-CN"/>
        </w:rPr>
        <w:t>按照</w:t>
      </w:r>
      <w:r>
        <w:rPr>
          <w:rFonts w:hint="eastAsia" w:ascii="仿宋_GB2312" w:eastAsia="仿宋_GB2312"/>
          <w:spacing w:val="6"/>
          <w:sz w:val="32"/>
          <w:szCs w:val="32"/>
        </w:rPr>
        <w:t>“以产促城、以城兴产、产城融合”的思路，推动商贸业与聊城市特色产业相结合，拓展商贸服务功能，提升聊城市商贸业的区域影响力；完善园区商贸配套服务，面向园区工业企业员工和周边居民，提供购物、餐饮、其它生活服务等，以社区商业或街巷商业的形式集中布局，促进生活、生产、商业的有机融合。</w:t>
      </w:r>
    </w:p>
    <w:p>
      <w:pPr>
        <w:pStyle w:val="4"/>
        <w:spacing w:before="156" w:after="156" w:line="415" w:lineRule="auto"/>
        <w:jc w:val="center"/>
        <w:rPr>
          <w:rFonts w:ascii="楷体" w:hAnsi="楷体" w:eastAsia="楷体"/>
        </w:rPr>
      </w:pPr>
      <w:bookmarkStart w:id="37" w:name="_Toc68698339"/>
      <w:r>
        <w:rPr>
          <w:rFonts w:hint="eastAsia" w:ascii="楷体" w:hAnsi="楷体" w:eastAsia="楷体"/>
        </w:rPr>
        <w:t>第三节  知名商街带动工程</w:t>
      </w:r>
      <w:bookmarkEnd w:id="37"/>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加强商街布局规划与城市交通规划、城市人口分布和区域环境等衔接，</w:t>
      </w:r>
      <w:bookmarkStart w:id="38" w:name="_Hlk44671014"/>
      <w:r>
        <w:rPr>
          <w:rFonts w:hint="eastAsia" w:ascii="仿宋_GB2312" w:eastAsia="仿宋_GB2312"/>
          <w:spacing w:val="6"/>
          <w:sz w:val="32"/>
          <w:szCs w:val="32"/>
        </w:rPr>
        <w:t>结合商业中心建设及商贸功能区的发展要求、特色资源，谋划建设古城特色商业街、西部新城商业街、水城风情商业街、数码电子商业街、时尚特色商业街、青春运动商业街</w:t>
      </w:r>
      <w:bookmarkEnd w:id="38"/>
      <w:r>
        <w:rPr>
          <w:rFonts w:hint="eastAsia" w:ascii="仿宋_GB2312" w:eastAsia="仿宋_GB2312"/>
          <w:spacing w:val="6"/>
          <w:sz w:val="32"/>
          <w:szCs w:val="32"/>
        </w:rPr>
        <w:t>加快商街提档升级，推动设施改造、品牌集聚、业态互补、错位发展。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1</w:t>
      </w:r>
      <w:r>
        <w:rPr>
          <w:rFonts w:hint="eastAsia" w:ascii="仿宋_GB2312" w:eastAsia="仿宋_GB2312"/>
          <w:b/>
          <w:spacing w:val="6"/>
          <w:sz w:val="32"/>
          <w:szCs w:val="32"/>
        </w:rPr>
        <w:t>.古城特色商业街。</w:t>
      </w:r>
      <w:r>
        <w:rPr>
          <w:rFonts w:hint="eastAsia" w:ascii="仿宋_GB2312" w:eastAsia="仿宋_GB2312"/>
          <w:spacing w:val="6"/>
          <w:sz w:val="32"/>
          <w:szCs w:val="32"/>
        </w:rPr>
        <w:t>以古城楼东大街、西大街、南大街、北大街为载体，依托楼南大街大中型院落的建筑特点，结合七贤堂、县衙等历史文化景点和建筑特色，融入聊城的风土人情、名人轶事、传承故事等传统文化，充分挖掘聊城古城的传统文化属性和地方特色，重点引进传统文化演艺，旅游纪念品；重点设置老字号店堂铺号，</w:t>
      </w:r>
      <w:r>
        <w:rPr>
          <w:rFonts w:hint="eastAsia" w:ascii="仿宋_GB2312" w:eastAsia="仿宋_GB2312"/>
          <w:spacing w:val="6"/>
          <w:sz w:val="32"/>
          <w:szCs w:val="32"/>
          <w:lang w:val="en-US" w:eastAsia="zh-CN"/>
        </w:rPr>
        <w:t>宣传推介魏氏熏鸡、</w:t>
      </w:r>
      <w:r>
        <w:rPr>
          <w:rFonts w:hint="eastAsia" w:ascii="仿宋_GB2312" w:eastAsia="仿宋_GB2312"/>
          <w:spacing w:val="6"/>
          <w:sz w:val="32"/>
          <w:szCs w:val="32"/>
        </w:rPr>
        <w:t>高唐驴肉、莘县香瓜、东阿阿胶、</w:t>
      </w:r>
      <w:r>
        <w:rPr>
          <w:rFonts w:hint="eastAsia" w:ascii="仿宋_GB2312" w:eastAsia="仿宋_GB2312"/>
          <w:spacing w:val="6"/>
          <w:sz w:val="32"/>
          <w:szCs w:val="32"/>
          <w:lang w:val="en-US" w:eastAsia="zh-CN"/>
        </w:rPr>
        <w:t>临清济美酱菜</w:t>
      </w:r>
      <w:r>
        <w:rPr>
          <w:rFonts w:hint="eastAsia" w:ascii="仿宋_GB2312" w:eastAsia="仿宋_GB2312"/>
          <w:spacing w:val="6"/>
          <w:sz w:val="32"/>
          <w:szCs w:val="32"/>
        </w:rPr>
        <w:t>等地方名优特产品，突出聊城古城老字号特色，辅以旅游纪念品、特色工艺品等网点；打造以鲁菜为代表的地方特色餐饮，辅以咖啡厅、茶社等休闲餐饮网点，高端打造古城商业街。</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2.西部新城商业街。</w:t>
      </w:r>
      <w:r>
        <w:rPr>
          <w:rFonts w:hint="eastAsia" w:ascii="仿宋_GB2312" w:eastAsia="仿宋_GB2312"/>
          <w:spacing w:val="6"/>
          <w:sz w:val="32"/>
          <w:szCs w:val="32"/>
        </w:rPr>
        <w:t>规划结合西部新城副城市商业中心，开发建设商业街区，以“精品、创意、休闲、体验”为主要建设方向，围绕商业中心商务、文化、会展等复合功能定位，重点设置品牌专卖、精品专卖、科技体验、定制家居、休闲娱乐等类型网点。在建筑风貌和视线上注重与周边景观节点的协调，营造良好购物氛围，将其打造成为聊城市品质购物示范街区。</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3</w:t>
      </w:r>
      <w:r>
        <w:rPr>
          <w:rFonts w:hint="eastAsia" w:ascii="仿宋_GB2312" w:eastAsia="仿宋_GB2312"/>
          <w:b/>
          <w:spacing w:val="6"/>
          <w:sz w:val="32"/>
          <w:szCs w:val="32"/>
        </w:rPr>
        <w:t>.水城风情商业街。</w:t>
      </w:r>
      <w:r>
        <w:rPr>
          <w:rFonts w:hint="eastAsia" w:ascii="仿宋_GB2312" w:eastAsia="仿宋_GB2312"/>
          <w:spacing w:val="6"/>
          <w:sz w:val="32"/>
          <w:szCs w:val="32"/>
        </w:rPr>
        <w:t>结合徒骇河的滨水资源优势，打造集特色餐饮、休闲娱乐、互动交流等功能于一体的特色街区，重点设置咖啡厅、茶社、特色小吃、主题餐厅等网点，打造聊城全时段慢生活街区，</w:t>
      </w:r>
      <w:r>
        <w:rPr>
          <w:rFonts w:hint="eastAsia" w:ascii="仿宋_GB2312" w:eastAsia="仿宋_GB2312"/>
          <w:color w:val="FF0000"/>
          <w:spacing w:val="6"/>
          <w:sz w:val="32"/>
          <w:szCs w:val="32"/>
        </w:rPr>
        <w:t>街区内规划设置1处公共交流广场，</w:t>
      </w:r>
      <w:r>
        <w:rPr>
          <w:rFonts w:hint="eastAsia" w:ascii="仿宋_GB2312" w:eastAsia="仿宋_GB2312"/>
          <w:spacing w:val="6"/>
          <w:sz w:val="32"/>
          <w:szCs w:val="32"/>
        </w:rPr>
        <w:t>作为互动交流场所或集会的弹性空间。</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4</w:t>
      </w:r>
      <w:r>
        <w:rPr>
          <w:rFonts w:hint="eastAsia" w:ascii="仿宋_GB2312" w:eastAsia="仿宋_GB2312"/>
          <w:b/>
          <w:spacing w:val="6"/>
          <w:sz w:val="32"/>
          <w:szCs w:val="32"/>
        </w:rPr>
        <w:t>.数码电子商业街。</w:t>
      </w:r>
      <w:r>
        <w:rPr>
          <w:rFonts w:hint="eastAsia" w:ascii="仿宋_GB2312" w:eastAsia="仿宋_GB2312"/>
          <w:spacing w:val="6"/>
          <w:sz w:val="32"/>
          <w:szCs w:val="32"/>
        </w:rPr>
        <w:t>建设范围位于后菜市街与柳园路交叉口区域，结合现状网点的改造提升，打造集电子产品销售、展览、售后服务于一体的数码电子一条街。积极吸引消费电子领域创新性企业集聚，加快名品名店名街集聚，引进一线消费电子品牌，构建集批发零售于一体的消费电子和数码电子消费中心。</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5</w:t>
      </w:r>
      <w:r>
        <w:rPr>
          <w:rFonts w:hint="eastAsia" w:ascii="仿宋_GB2312" w:eastAsia="仿宋_GB2312"/>
          <w:b/>
          <w:spacing w:val="6"/>
          <w:sz w:val="32"/>
          <w:szCs w:val="32"/>
        </w:rPr>
        <w:t>.时尚特色商业街。</w:t>
      </w:r>
      <w:r>
        <w:rPr>
          <w:rFonts w:hint="eastAsia" w:ascii="仿宋_GB2312" w:eastAsia="仿宋_GB2312"/>
          <w:spacing w:val="6"/>
          <w:sz w:val="32"/>
          <w:szCs w:val="32"/>
        </w:rPr>
        <w:t>项目依托万达</w:t>
      </w:r>
      <w:r>
        <w:rPr>
          <w:rFonts w:hint="eastAsia" w:ascii="仿宋_GB2312" w:eastAsia="仿宋_GB2312"/>
          <w:spacing w:val="6"/>
          <w:sz w:val="32"/>
          <w:szCs w:val="32"/>
          <w:lang w:val="en-US" w:eastAsia="zh-CN"/>
        </w:rPr>
        <w:t>欢乐小镇“聊街”</w:t>
      </w:r>
      <w:r>
        <w:rPr>
          <w:rFonts w:hint="eastAsia" w:ascii="仿宋_GB2312" w:eastAsia="仿宋_GB2312"/>
          <w:spacing w:val="6"/>
          <w:sz w:val="32"/>
          <w:szCs w:val="32"/>
        </w:rPr>
        <w:t>、</w:t>
      </w:r>
      <w:r>
        <w:rPr>
          <w:rFonts w:hint="eastAsia" w:ascii="仿宋_GB2312" w:eastAsia="仿宋_GB2312"/>
          <w:spacing w:val="6"/>
          <w:sz w:val="32"/>
          <w:szCs w:val="32"/>
          <w:lang w:val="en-US" w:eastAsia="zh-CN"/>
        </w:rPr>
        <w:t>龙堤美食岛、水城中街、</w:t>
      </w:r>
      <w:r>
        <w:rPr>
          <w:rFonts w:hint="eastAsia" w:ascii="仿宋_GB2312" w:eastAsia="仿宋_GB2312"/>
          <w:spacing w:val="6"/>
          <w:sz w:val="32"/>
          <w:szCs w:val="32"/>
        </w:rPr>
        <w:t>女人街等特色，推动珠宝、钟表、眼镜、时装、婚庆等时尚产业资源的聚集，配置女士服饰、鞋帽、箱包、化妆彩妆、金银饰品等主力店，配套设置美容美发、美甲护甲、美体瘦身等服务网点，规划设置主题餐饮、休闲购物、儿童娱乐、金融服务等功能，构建集商务服务、精品商业购物广场、住宿餐饮于一体的生活购物、生产服务、餐饮娱乐一站式综合性街区。适度发展夜间经济，满足市民“夜游、夜食、夜娱、夜购”的消费需求。</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6</w:t>
      </w:r>
      <w:r>
        <w:rPr>
          <w:rFonts w:hint="eastAsia" w:ascii="仿宋_GB2312" w:eastAsia="仿宋_GB2312"/>
          <w:b/>
          <w:spacing w:val="6"/>
          <w:sz w:val="32"/>
          <w:szCs w:val="32"/>
        </w:rPr>
        <w:t>.青春运动商业街。</w:t>
      </w:r>
      <w:r>
        <w:rPr>
          <w:rFonts w:hint="eastAsia" w:ascii="仿宋_GB2312" w:eastAsia="仿宋_GB2312"/>
          <w:color w:val="auto"/>
          <w:spacing w:val="6"/>
          <w:sz w:val="32"/>
          <w:szCs w:val="32"/>
        </w:rPr>
        <w:t>项目位于</w:t>
      </w:r>
      <w:r>
        <w:rPr>
          <w:rFonts w:hint="eastAsia" w:ascii="仿宋_GB2312" w:eastAsia="仿宋_GB2312"/>
          <w:color w:val="auto"/>
          <w:spacing w:val="6"/>
          <w:sz w:val="32"/>
          <w:szCs w:val="32"/>
          <w:lang w:val="en-US" w:eastAsia="zh-CN"/>
        </w:rPr>
        <w:t>南</w:t>
      </w:r>
      <w:r>
        <w:rPr>
          <w:rFonts w:hint="eastAsia" w:ascii="仿宋_GB2312" w:eastAsia="仿宋_GB2312"/>
          <w:color w:val="auto"/>
          <w:spacing w:val="6"/>
          <w:sz w:val="32"/>
          <w:szCs w:val="32"/>
        </w:rPr>
        <w:t>外环路以北，望岳湖东岸，</w:t>
      </w:r>
      <w:r>
        <w:rPr>
          <w:rFonts w:hint="eastAsia" w:ascii="仿宋_GB2312" w:eastAsia="仿宋_GB2312"/>
          <w:spacing w:val="6"/>
          <w:sz w:val="32"/>
          <w:szCs w:val="32"/>
        </w:rPr>
        <w:t>长度约1000米。规划期内，结合望岳湖的优质景观资源，以体现现代青春运动主题为抓手，营造时尚购物环境，建设立体化的商业街区。以学生、青少年群体为主要服务对象，主打青春时尚运动主题，街区重点设置运动健身、文化创意、旅游商品、休闲娱乐型网点，将其打造成为聊城市重要的青春时尚运动街区。</w:t>
      </w:r>
    </w:p>
    <w:p>
      <w:pPr>
        <w:pStyle w:val="4"/>
        <w:spacing w:before="156" w:after="156" w:line="415" w:lineRule="auto"/>
        <w:jc w:val="center"/>
        <w:rPr>
          <w:rFonts w:ascii="楷体" w:hAnsi="楷体" w:eastAsia="楷体"/>
        </w:rPr>
      </w:pPr>
      <w:bookmarkStart w:id="39" w:name="_Toc68698340"/>
      <w:r>
        <w:rPr>
          <w:rFonts w:hint="eastAsia" w:ascii="楷体" w:hAnsi="楷体" w:eastAsia="楷体"/>
        </w:rPr>
        <w:t>第四节  对外开放示范工程</w:t>
      </w:r>
      <w:bookmarkEnd w:id="39"/>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积极对接国家战略，着力体制机制创新，提升开放能级</w:t>
      </w:r>
      <w:r>
        <w:rPr>
          <w:rFonts w:hint="eastAsia" w:ascii="仿宋_GB2312" w:eastAsia="仿宋_GB2312"/>
          <w:spacing w:val="6"/>
          <w:sz w:val="32"/>
          <w:szCs w:val="32"/>
        </w:rPr>
        <w:t>，</w:t>
      </w:r>
      <w:r>
        <w:rPr>
          <w:rFonts w:ascii="仿宋_GB2312" w:eastAsia="仿宋_GB2312"/>
          <w:spacing w:val="6"/>
          <w:sz w:val="32"/>
          <w:szCs w:val="32"/>
        </w:rPr>
        <w:t>构建高水平现代化开放平台体系</w:t>
      </w:r>
      <w:r>
        <w:rPr>
          <w:rFonts w:hint="eastAsia" w:ascii="仿宋_GB2312" w:eastAsia="仿宋_GB2312"/>
          <w:spacing w:val="6"/>
          <w:sz w:val="32"/>
          <w:szCs w:val="32"/>
        </w:rPr>
        <w:t>，</w:t>
      </w:r>
      <w:r>
        <w:rPr>
          <w:rFonts w:ascii="仿宋_GB2312" w:eastAsia="仿宋_GB2312"/>
          <w:spacing w:val="6"/>
          <w:sz w:val="32"/>
          <w:szCs w:val="32"/>
        </w:rPr>
        <w:t>打造高能级的开放主阵地。</w:t>
      </w:r>
      <w:bookmarkStart w:id="49" w:name="_GoBack"/>
      <w:bookmarkEnd w:id="49"/>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1.打造跨境电商综合试验平台。</w:t>
      </w:r>
      <w:r>
        <w:rPr>
          <w:rFonts w:ascii="仿宋_GB2312" w:eastAsia="仿宋_GB2312"/>
          <w:spacing w:val="6"/>
          <w:sz w:val="32"/>
          <w:szCs w:val="32"/>
        </w:rPr>
        <w:t>聚焦</w:t>
      </w:r>
      <w:r>
        <w:rPr>
          <w:rFonts w:hint="eastAsia" w:ascii="仿宋_GB2312" w:eastAsia="仿宋_GB2312"/>
          <w:spacing w:val="6"/>
          <w:sz w:val="32"/>
          <w:szCs w:val="32"/>
        </w:rPr>
        <w:t>“</w:t>
      </w:r>
      <w:r>
        <w:rPr>
          <w:rFonts w:ascii="仿宋_GB2312" w:eastAsia="仿宋_GB2312"/>
          <w:spacing w:val="6"/>
          <w:sz w:val="32"/>
          <w:szCs w:val="32"/>
        </w:rPr>
        <w:t>产业集群+跨境电商</w:t>
      </w:r>
      <w:r>
        <w:rPr>
          <w:rFonts w:hint="eastAsia" w:ascii="仿宋_GB2312" w:eastAsia="仿宋_GB2312"/>
          <w:spacing w:val="6"/>
          <w:sz w:val="32"/>
          <w:szCs w:val="32"/>
        </w:rPr>
        <w:t>”“</w:t>
      </w:r>
      <w:r>
        <w:rPr>
          <w:rFonts w:ascii="仿宋_GB2312" w:eastAsia="仿宋_GB2312"/>
          <w:spacing w:val="6"/>
          <w:sz w:val="32"/>
          <w:szCs w:val="32"/>
        </w:rPr>
        <w:t>专业市场+跨境电商</w:t>
      </w:r>
      <w:r>
        <w:rPr>
          <w:rFonts w:hint="eastAsia" w:ascii="仿宋_GB2312" w:eastAsia="仿宋_GB2312"/>
          <w:spacing w:val="6"/>
          <w:sz w:val="32"/>
          <w:szCs w:val="32"/>
        </w:rPr>
        <w:t>”</w:t>
      </w:r>
      <w:r>
        <w:rPr>
          <w:rFonts w:ascii="仿宋_GB2312" w:eastAsia="仿宋_GB2312"/>
          <w:spacing w:val="6"/>
          <w:sz w:val="32"/>
          <w:szCs w:val="32"/>
        </w:rPr>
        <w:t>两大特色</w:t>
      </w:r>
      <w:r>
        <w:rPr>
          <w:rFonts w:hint="eastAsia" w:ascii="仿宋_GB2312" w:eastAsia="仿宋_GB2312"/>
          <w:spacing w:val="6"/>
          <w:sz w:val="32"/>
          <w:szCs w:val="32"/>
        </w:rPr>
        <w:t>，</w:t>
      </w:r>
      <w:r>
        <w:rPr>
          <w:rFonts w:ascii="仿宋_GB2312" w:eastAsia="仿宋_GB2312"/>
          <w:spacing w:val="6"/>
          <w:sz w:val="32"/>
          <w:szCs w:val="32"/>
        </w:rPr>
        <w:t>加快形成跨境电商全产业链</w:t>
      </w:r>
      <w:r>
        <w:rPr>
          <w:rFonts w:hint="eastAsia" w:ascii="仿宋_GB2312" w:eastAsia="仿宋_GB2312"/>
          <w:spacing w:val="6"/>
          <w:sz w:val="32"/>
          <w:szCs w:val="32"/>
        </w:rPr>
        <w:t>“</w:t>
      </w:r>
      <w:r>
        <w:rPr>
          <w:rFonts w:ascii="仿宋_GB2312" w:eastAsia="仿宋_GB2312"/>
          <w:spacing w:val="6"/>
          <w:sz w:val="32"/>
          <w:szCs w:val="32"/>
        </w:rPr>
        <w:t>闭环生态圈</w:t>
      </w:r>
      <w:r>
        <w:rPr>
          <w:rFonts w:hint="eastAsia" w:ascii="仿宋_GB2312" w:eastAsia="仿宋_GB2312"/>
          <w:spacing w:val="6"/>
          <w:sz w:val="32"/>
          <w:szCs w:val="32"/>
        </w:rPr>
        <w:t>”</w:t>
      </w:r>
      <w:r>
        <w:rPr>
          <w:rFonts w:ascii="仿宋_GB2312" w:eastAsia="仿宋_GB2312"/>
          <w:spacing w:val="6"/>
          <w:sz w:val="32"/>
          <w:szCs w:val="32"/>
        </w:rPr>
        <w:t>，</w:t>
      </w:r>
      <w:r>
        <w:rPr>
          <w:rFonts w:hint="eastAsia" w:ascii="仿宋_GB2312" w:eastAsia="仿宋_GB2312"/>
          <w:spacing w:val="6"/>
          <w:sz w:val="32"/>
          <w:szCs w:val="32"/>
        </w:rPr>
        <w:t>积极完善</w:t>
      </w:r>
      <w:r>
        <w:rPr>
          <w:rFonts w:ascii="仿宋_GB2312" w:eastAsia="仿宋_GB2312"/>
          <w:spacing w:val="6"/>
          <w:sz w:val="32"/>
          <w:szCs w:val="32"/>
        </w:rPr>
        <w:t>境外全渠道分销、境外商务服务能力，提升海外仓与境内跨境电商综试区的互联互通。努力把跨境电商打造成为</w:t>
      </w:r>
      <w:r>
        <w:rPr>
          <w:rFonts w:hint="eastAsia" w:ascii="仿宋_GB2312" w:eastAsia="仿宋_GB2312"/>
          <w:spacing w:val="6"/>
          <w:sz w:val="32"/>
          <w:szCs w:val="32"/>
        </w:rPr>
        <w:t>聊城市</w:t>
      </w:r>
      <w:r>
        <w:rPr>
          <w:rFonts w:ascii="仿宋_GB2312" w:eastAsia="仿宋_GB2312"/>
          <w:spacing w:val="6"/>
          <w:sz w:val="32"/>
          <w:szCs w:val="32"/>
        </w:rPr>
        <w:t>开放型经济的新业态、高质量发展的新动能</w:t>
      </w:r>
      <w:r>
        <w:rPr>
          <w:rFonts w:hint="eastAsia" w:ascii="仿宋_GB2312" w:eastAsia="仿宋_GB2312"/>
          <w:spacing w:val="6"/>
          <w:sz w:val="32"/>
          <w:szCs w:val="32"/>
        </w:rPr>
        <w:t>，</w:t>
      </w:r>
      <w:r>
        <w:rPr>
          <w:rFonts w:ascii="仿宋_GB2312" w:eastAsia="仿宋_GB2312"/>
          <w:spacing w:val="6"/>
          <w:sz w:val="32"/>
          <w:szCs w:val="32"/>
        </w:rPr>
        <w:t>把</w:t>
      </w:r>
      <w:r>
        <w:rPr>
          <w:rFonts w:hint="eastAsia" w:ascii="仿宋_GB2312" w:eastAsia="仿宋_GB2312"/>
          <w:spacing w:val="6"/>
          <w:sz w:val="32"/>
          <w:szCs w:val="32"/>
        </w:rPr>
        <w:t>我市跨境电商</w:t>
      </w:r>
      <w:r>
        <w:rPr>
          <w:rFonts w:ascii="仿宋_GB2312" w:eastAsia="仿宋_GB2312"/>
          <w:spacing w:val="6"/>
          <w:sz w:val="32"/>
          <w:szCs w:val="32"/>
        </w:rPr>
        <w:t>建设成为</w:t>
      </w:r>
      <w:r>
        <w:rPr>
          <w:rFonts w:hint="eastAsia" w:ascii="仿宋_GB2312" w:eastAsia="仿宋_GB2312"/>
          <w:spacing w:val="6"/>
          <w:sz w:val="32"/>
          <w:szCs w:val="32"/>
        </w:rPr>
        <w:t>培育新模式新业态的山东样板。</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2.打造中日韩经贸合作平台。</w:t>
      </w:r>
      <w:r>
        <w:rPr>
          <w:rFonts w:ascii="仿宋_GB2312" w:eastAsia="仿宋_GB2312"/>
          <w:spacing w:val="6"/>
          <w:sz w:val="32"/>
          <w:szCs w:val="32"/>
        </w:rPr>
        <w:t>积极深化与日韩的经贸合作，创新推进中日韩经贸文化交流合作的体制机制，积极探索与日韩国家实施</w:t>
      </w:r>
      <w:r>
        <w:rPr>
          <w:rFonts w:hint="eastAsia" w:ascii="仿宋_GB2312" w:eastAsia="仿宋_GB2312"/>
          <w:spacing w:val="6"/>
          <w:sz w:val="32"/>
          <w:szCs w:val="32"/>
        </w:rPr>
        <w:t>经贸</w:t>
      </w:r>
      <w:r>
        <w:rPr>
          <w:rFonts w:ascii="仿宋_GB2312" w:eastAsia="仿宋_GB2312"/>
          <w:spacing w:val="6"/>
          <w:sz w:val="32"/>
          <w:szCs w:val="32"/>
        </w:rPr>
        <w:t>合作的新路径，</w:t>
      </w:r>
      <w:r>
        <w:rPr>
          <w:rFonts w:ascii="仿宋_GB2312" w:eastAsia="仿宋_GB2312"/>
          <w:color w:val="auto"/>
          <w:spacing w:val="6"/>
          <w:sz w:val="32"/>
          <w:szCs w:val="32"/>
        </w:rPr>
        <w:t>谋划构建面向日韩开放的新平台，</w:t>
      </w:r>
      <w:r>
        <w:rPr>
          <w:rFonts w:ascii="仿宋_GB2312" w:eastAsia="仿宋_GB2312"/>
          <w:spacing w:val="6"/>
          <w:sz w:val="32"/>
          <w:szCs w:val="32"/>
        </w:rPr>
        <w:t>加强对外经贸合作，发展新兴产业，实现各方合作能级的跃升</w:t>
      </w:r>
      <w:r>
        <w:rPr>
          <w:rFonts w:hint="eastAsia" w:ascii="仿宋_GB2312" w:eastAsia="仿宋_GB2312"/>
          <w:spacing w:val="6"/>
          <w:sz w:val="32"/>
          <w:szCs w:val="32"/>
        </w:rPr>
        <w:t>，</w:t>
      </w:r>
      <w:r>
        <w:rPr>
          <w:rFonts w:ascii="仿宋_GB2312" w:eastAsia="仿宋_GB2312"/>
          <w:spacing w:val="6"/>
          <w:sz w:val="32"/>
          <w:szCs w:val="32"/>
        </w:rPr>
        <w:t>将</w:t>
      </w:r>
      <w:r>
        <w:rPr>
          <w:rFonts w:hint="eastAsia" w:ascii="仿宋_GB2312" w:eastAsia="仿宋_GB2312"/>
          <w:spacing w:val="6"/>
          <w:sz w:val="32"/>
          <w:szCs w:val="32"/>
        </w:rPr>
        <w:t>聊城市</w:t>
      </w:r>
      <w:r>
        <w:rPr>
          <w:rFonts w:ascii="仿宋_GB2312" w:eastAsia="仿宋_GB2312"/>
          <w:spacing w:val="6"/>
          <w:sz w:val="32"/>
          <w:szCs w:val="32"/>
        </w:rPr>
        <w:t>打造成为中日韩经贸合的重要</w:t>
      </w:r>
      <w:r>
        <w:rPr>
          <w:rFonts w:hint="eastAsia" w:ascii="仿宋_GB2312" w:eastAsia="仿宋_GB2312"/>
          <w:spacing w:val="6"/>
          <w:sz w:val="32"/>
          <w:szCs w:val="32"/>
        </w:rPr>
        <w:t>节点</w:t>
      </w:r>
      <w:r>
        <w:rPr>
          <w:rFonts w:ascii="仿宋_GB2312" w:eastAsia="仿宋_GB2312"/>
          <w:spacing w:val="6"/>
          <w:sz w:val="32"/>
          <w:szCs w:val="32"/>
        </w:rPr>
        <w:t>城市。</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3.打造高质量国际创新平台。</w:t>
      </w:r>
      <w:r>
        <w:rPr>
          <w:rFonts w:hint="eastAsia" w:ascii="仿宋_GB2312" w:eastAsia="仿宋_GB2312"/>
          <w:spacing w:val="6"/>
          <w:sz w:val="32"/>
          <w:szCs w:val="32"/>
        </w:rPr>
        <w:t>以加快创新能力建设为核心，加强企业创新主体培育、推动科技创新成果转化、激发创新创业活力。重点吸引新材料、高端装备制造、新能源汽车、有色金属及金属深加工、绿色化工、纺织服装、医养健康等领域的重大技术创新成果产业化。加快建设国家级聚碳酸酯创新中心，承担聚碳酸酯改性研究、应用研究和高端聚碳酸酯产品研究工作。加快建设鲁西化工化工工程研发中心，发挥中化集团的科研单位研发优势，借助公司现有高端装备制造和工程化能力，依托聊城化工产业园公用工程设施，在园区建设化工工程研发中心，主要建设中试及产业化装置，为发展高端化工提供支撑。着力构建千帆竞发、创新潮涌的创新创业新生态，不断增强产业创新发展能力。</w:t>
      </w:r>
    </w:p>
    <w:tbl>
      <w:tblPr>
        <w:tblStyle w:val="14"/>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16"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黑体" w:hAnsi="黑体" w:eastAsia="黑体"/>
                <w:bCs/>
                <w:sz w:val="28"/>
                <w:szCs w:val="28"/>
              </w:rPr>
            </w:pPr>
            <w:r>
              <w:rPr>
                <w:rFonts w:hint="eastAsia" w:ascii="黑体" w:hAnsi="黑体" w:eastAsia="黑体"/>
                <w:bCs/>
                <w:sz w:val="28"/>
                <w:szCs w:val="28"/>
              </w:rPr>
              <w:t>专栏  高质量国际创新平台重大项目</w:t>
            </w:r>
          </w:p>
        </w:tc>
      </w:tr>
      <w:tr>
        <w:tblPrEx>
          <w:tblCellMar>
            <w:top w:w="0" w:type="dxa"/>
            <w:left w:w="108" w:type="dxa"/>
            <w:bottom w:w="0" w:type="dxa"/>
            <w:right w:w="108" w:type="dxa"/>
          </w:tblCellMar>
        </w:tblPrEx>
        <w:trPr>
          <w:trHeight w:val="416"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firstLine="482" w:firstLineChars="200"/>
              <w:rPr>
                <w:rFonts w:ascii="仿宋_GB2312" w:hAnsi="仿宋_GB2312" w:eastAsia="仿宋_GB2312" w:cs="仿宋_GB2312"/>
                <w:bCs/>
                <w:kern w:val="0"/>
                <w:sz w:val="24"/>
              </w:rPr>
            </w:pPr>
            <w:bookmarkStart w:id="40" w:name="_Toc50022562"/>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新能源汽车产业研究院</w:t>
            </w:r>
            <w:r>
              <w:rPr>
                <w:rFonts w:hint="eastAsia" w:ascii="仿宋_GB2312" w:hAnsi="仿宋_GB2312" w:eastAsia="仿宋_GB2312" w:cs="仿宋_GB2312"/>
                <w:b/>
                <w:bCs/>
                <w:kern w:val="0"/>
                <w:sz w:val="24"/>
              </w:rPr>
              <w:t>。</w:t>
            </w:r>
            <w:r>
              <w:rPr>
                <w:rFonts w:ascii="仿宋_GB2312" w:hAnsi="仿宋_GB2312" w:eastAsia="仿宋_GB2312" w:cs="仿宋_GB2312"/>
                <w:bCs/>
                <w:kern w:val="0"/>
                <w:sz w:val="24"/>
              </w:rPr>
              <w:t>由中通客车等龙头企业牵头，联合聊城大学等高校院所，以独立法人注册，采取企业化管理、市场化运作的方式，合作共建新能源汽车产业研究院。重点开展新能源汽车共性及关键技术研发，面向园区新能源汽车相关企业，提供技术创新、检验检测等服务。建设新能源汽车整车设计平台、检验检测平台，产品开发数据库等公共服务平台，重点开展新能源汽车整车与系统集成、整车匹配标定与试验等关键技术攻关。建立新能源汽车关键零部件技术开发与试验平台，开展新能源汽车电池与电池管理、电机驱动与电力电子、燃料电池动力系统等整车及关键零部件核心技术攻关与试验验证服务。</w:t>
            </w:r>
          </w:p>
          <w:p>
            <w:pPr>
              <w:spacing w:line="360" w:lineRule="auto"/>
              <w:ind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w:t>
            </w:r>
            <w:r>
              <w:rPr>
                <w:rFonts w:ascii="仿宋_GB2312" w:hAnsi="仿宋_GB2312" w:eastAsia="仿宋_GB2312" w:cs="仿宋_GB2312"/>
                <w:b/>
                <w:bCs/>
                <w:kern w:val="0"/>
                <w:sz w:val="24"/>
              </w:rPr>
              <w:t>生物医药产业协同创新中心</w:t>
            </w:r>
            <w:r>
              <w:rPr>
                <w:rFonts w:hint="eastAsia" w:ascii="仿宋_GB2312" w:hAnsi="仿宋_GB2312" w:eastAsia="仿宋_GB2312" w:cs="仿宋_GB2312"/>
                <w:b/>
                <w:bCs/>
                <w:kern w:val="0"/>
                <w:sz w:val="24"/>
              </w:rPr>
              <w:t>。</w:t>
            </w:r>
            <w:r>
              <w:rPr>
                <w:rFonts w:hint="eastAsia" w:ascii="仿宋_GB2312" w:hAnsi="仿宋_GB2312" w:eastAsia="仿宋_GB2312" w:cs="仿宋_GB2312"/>
                <w:bCs/>
                <w:kern w:val="0"/>
                <w:sz w:val="24"/>
              </w:rPr>
              <w:t>由高新生物牵头，统筹整合山东省抗体制药协同创新中心、聊城高新区生物技术研发中心等技术创新资源，联合瑞柏生物、博奥克等骨干企业，按照“政府引导+市场化运作”模式，建设高新区生物医药产业协同创新中心。面向本地企业提供技术研发、技术咨询、技术转移、检测认证、产品中试、创业孵化等服务。搭建生物医药公共技术研发平台，开展基因检测、诊断试剂、中药有效成分提取、分离与纯化等技术研发和产业化。建设生物医药分析检测平台，提供药物成分分析测试、药物质量标准认定等服务。搭建药品中试基地，为新药、新产品的配方、生产工艺及样品提供验证场所。组建生物医药孵化器，孵化培育一批生物制药、现代中药、保健品等领域科技型中小企业。</w:t>
            </w:r>
          </w:p>
          <w:bookmarkEnd w:id="40"/>
          <w:p>
            <w:pPr>
              <w:spacing w:line="360" w:lineRule="auto"/>
              <w:ind w:firstLine="482" w:firstLineChars="200"/>
              <w:rPr>
                <w:rFonts w:ascii="仿宋_GB2312" w:hAnsi="微软雅黑" w:eastAsia="仿宋_GB2312" w:cs="宋体"/>
                <w:b/>
                <w:kern w:val="0"/>
                <w:sz w:val="24"/>
              </w:rPr>
            </w:pPr>
            <w:bookmarkStart w:id="41" w:name="_Toc50022563"/>
            <w:r>
              <w:rPr>
                <w:rFonts w:hint="eastAsia" w:ascii="仿宋_GB2312" w:hAnsi="仿宋_GB2312" w:eastAsia="仿宋_GB2312" w:cs="仿宋_GB2312"/>
                <w:b/>
                <w:bCs/>
                <w:kern w:val="0"/>
                <w:sz w:val="24"/>
              </w:rPr>
              <w:t>3.完善产学研用平台</w:t>
            </w:r>
            <w:bookmarkEnd w:id="41"/>
            <w:r>
              <w:rPr>
                <w:rFonts w:hint="eastAsia" w:ascii="仿宋_GB2312" w:hAnsi="仿宋_GB2312" w:eastAsia="仿宋_GB2312" w:cs="仿宋_GB2312"/>
                <w:b/>
                <w:bCs/>
                <w:kern w:val="0"/>
                <w:sz w:val="24"/>
              </w:rPr>
              <w:t>。</w:t>
            </w:r>
            <w:r>
              <w:rPr>
                <w:rFonts w:hint="eastAsia" w:ascii="仿宋_GB2312" w:hAnsi="仿宋_GB2312" w:eastAsia="仿宋_GB2312" w:cs="仿宋_GB2312"/>
                <w:bCs/>
                <w:kern w:val="0"/>
                <w:sz w:val="24"/>
              </w:rPr>
              <w:t>加快产业研究院、产业技术战略联盟、公共技术服务中心等平台载体建设，深入推进产学研用合作。围绕生物科技、新材料等新兴产业，按照“一个产业一个研究院”的总体思路，坚持“双招双引”，将“项目引进”、“人才引进”和“平台引进”协同开展，加快搭建一批专业化、市场化的产业创新平台和公共技术服务平台，提高产业创新能力，吸引高端创新人才，完善产业技术研发、技术引进、转移孵化、技术成果交易、科技服务、学术交流等功能。</w:t>
            </w:r>
          </w:p>
        </w:tc>
      </w:tr>
    </w:tbl>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p>
    <w:p>
      <w:pPr>
        <w:pStyle w:val="3"/>
        <w:spacing w:beforeLines="50" w:afterLines="50" w:line="360" w:lineRule="auto"/>
        <w:rPr>
          <w:rFonts w:ascii="Times New Roman" w:hAnsi="Times New Roman" w:eastAsia="华文中宋" w:cs="Times New Roman"/>
          <w:sz w:val="36"/>
          <w:szCs w:val="36"/>
        </w:rPr>
      </w:pPr>
      <w:bookmarkStart w:id="42" w:name="_Toc68698341"/>
      <w:r>
        <w:rPr>
          <w:rFonts w:hint="eastAsia" w:ascii="Times New Roman" w:hAnsi="Times New Roman" w:eastAsia="华文中宋" w:cs="Times New Roman"/>
          <w:sz w:val="36"/>
          <w:szCs w:val="36"/>
        </w:rPr>
        <w:t>第六章  健全商务发展保障措施</w:t>
      </w:r>
      <w:bookmarkEnd w:id="42"/>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加强组织领导，创新推进机制，全面推进</w:t>
      </w:r>
      <w:r>
        <w:rPr>
          <w:rFonts w:hint="eastAsia" w:ascii="仿宋_GB2312" w:eastAsia="仿宋_GB2312"/>
          <w:spacing w:val="6"/>
          <w:sz w:val="32"/>
          <w:szCs w:val="32"/>
        </w:rPr>
        <w:t>商务</w:t>
      </w:r>
      <w:r>
        <w:rPr>
          <w:rFonts w:ascii="仿宋_GB2312" w:eastAsia="仿宋_GB2312"/>
          <w:spacing w:val="6"/>
          <w:sz w:val="32"/>
          <w:szCs w:val="32"/>
        </w:rPr>
        <w:t>事业发展规划组织实施，确保规划任务目标顺利实现，在更高水平上推动</w:t>
      </w:r>
      <w:r>
        <w:rPr>
          <w:rFonts w:hint="eastAsia" w:ascii="仿宋_GB2312" w:eastAsia="仿宋_GB2312"/>
          <w:spacing w:val="6"/>
          <w:sz w:val="32"/>
          <w:szCs w:val="32"/>
        </w:rPr>
        <w:t>聊城</w:t>
      </w:r>
      <w:r>
        <w:rPr>
          <w:rFonts w:ascii="仿宋_GB2312" w:eastAsia="仿宋_GB2312"/>
          <w:spacing w:val="6"/>
          <w:sz w:val="32"/>
          <w:szCs w:val="32"/>
        </w:rPr>
        <w:t>市</w:t>
      </w:r>
      <w:r>
        <w:rPr>
          <w:rFonts w:hint="eastAsia" w:ascii="仿宋_GB2312" w:eastAsia="仿宋_GB2312"/>
          <w:spacing w:val="6"/>
          <w:sz w:val="32"/>
          <w:szCs w:val="32"/>
        </w:rPr>
        <w:t>商务</w:t>
      </w:r>
      <w:r>
        <w:rPr>
          <w:rFonts w:ascii="仿宋_GB2312" w:eastAsia="仿宋_GB2312"/>
          <w:spacing w:val="6"/>
          <w:sz w:val="32"/>
          <w:szCs w:val="32"/>
        </w:rPr>
        <w:t>事业高质量发展。</w:t>
      </w:r>
    </w:p>
    <w:p>
      <w:pPr>
        <w:pStyle w:val="4"/>
        <w:spacing w:before="156" w:after="156" w:line="415" w:lineRule="auto"/>
        <w:jc w:val="center"/>
        <w:rPr>
          <w:rFonts w:ascii="楷体" w:hAnsi="楷体" w:eastAsia="楷体"/>
        </w:rPr>
      </w:pPr>
      <w:bookmarkStart w:id="43" w:name="_Toc68698342"/>
      <w:r>
        <w:rPr>
          <w:rFonts w:hint="eastAsia" w:ascii="楷体" w:hAnsi="楷体" w:eastAsia="楷体"/>
        </w:rPr>
        <w:t>第一节  加强组织领导</w:t>
      </w:r>
      <w:bookmarkEnd w:id="43"/>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加强和改善党对</w:t>
      </w:r>
      <w:r>
        <w:rPr>
          <w:rFonts w:hint="eastAsia" w:ascii="仿宋_GB2312" w:eastAsia="仿宋_GB2312"/>
          <w:spacing w:val="6"/>
          <w:sz w:val="32"/>
          <w:szCs w:val="32"/>
        </w:rPr>
        <w:t>商务事业</w:t>
      </w:r>
      <w:r>
        <w:rPr>
          <w:rFonts w:ascii="仿宋_GB2312" w:eastAsia="仿宋_GB2312"/>
          <w:spacing w:val="6"/>
          <w:sz w:val="32"/>
          <w:szCs w:val="32"/>
        </w:rPr>
        <w:t>的组织领导，深刻认识</w:t>
      </w:r>
      <w:r>
        <w:rPr>
          <w:rFonts w:hint="eastAsia" w:ascii="仿宋_GB2312" w:eastAsia="仿宋_GB2312"/>
          <w:spacing w:val="6"/>
          <w:sz w:val="32"/>
          <w:szCs w:val="32"/>
        </w:rPr>
        <w:t>聊城</w:t>
      </w:r>
      <w:r>
        <w:rPr>
          <w:rFonts w:ascii="仿宋_GB2312" w:eastAsia="仿宋_GB2312"/>
          <w:spacing w:val="6"/>
          <w:sz w:val="32"/>
          <w:szCs w:val="32"/>
        </w:rPr>
        <w:t>市</w:t>
      </w:r>
      <w:r>
        <w:rPr>
          <w:rFonts w:hint="eastAsia" w:ascii="仿宋_GB2312" w:eastAsia="仿宋_GB2312"/>
          <w:spacing w:val="6"/>
          <w:sz w:val="32"/>
          <w:szCs w:val="32"/>
        </w:rPr>
        <w:t>“十四五”商务发展</w:t>
      </w:r>
      <w:r>
        <w:rPr>
          <w:rFonts w:ascii="仿宋_GB2312" w:eastAsia="仿宋_GB2312"/>
          <w:spacing w:val="6"/>
          <w:sz w:val="32"/>
          <w:szCs w:val="32"/>
        </w:rPr>
        <w:t>规划的重要意义，</w:t>
      </w:r>
      <w:r>
        <w:rPr>
          <w:rFonts w:hint="eastAsia" w:ascii="仿宋_GB2312" w:eastAsia="仿宋_GB2312"/>
          <w:spacing w:val="6"/>
          <w:sz w:val="32"/>
          <w:szCs w:val="32"/>
          <w:lang w:val="en-US" w:eastAsia="zh-CN"/>
        </w:rPr>
        <w:t>坚持党建引领、统筹文明创建、推进中心工作，</w:t>
      </w:r>
      <w:r>
        <w:rPr>
          <w:rFonts w:ascii="仿宋_GB2312" w:eastAsia="仿宋_GB2312"/>
          <w:spacing w:val="6"/>
          <w:sz w:val="32"/>
          <w:szCs w:val="32"/>
        </w:rPr>
        <w:t>为</w:t>
      </w:r>
      <w:r>
        <w:rPr>
          <w:rFonts w:hint="eastAsia" w:ascii="仿宋_GB2312" w:eastAsia="仿宋_GB2312"/>
          <w:spacing w:val="6"/>
          <w:sz w:val="32"/>
          <w:szCs w:val="32"/>
        </w:rPr>
        <w:t>商务</w:t>
      </w:r>
      <w:r>
        <w:rPr>
          <w:rFonts w:ascii="仿宋_GB2312" w:eastAsia="仿宋_GB2312"/>
          <w:spacing w:val="6"/>
          <w:sz w:val="32"/>
          <w:szCs w:val="32"/>
        </w:rPr>
        <w:t>发展奠定坚实基础。把</w:t>
      </w:r>
      <w:r>
        <w:rPr>
          <w:rFonts w:hint="eastAsia" w:ascii="仿宋_GB2312" w:eastAsia="仿宋_GB2312"/>
          <w:spacing w:val="6"/>
          <w:sz w:val="32"/>
          <w:szCs w:val="32"/>
        </w:rPr>
        <w:t>商务事业</w:t>
      </w:r>
      <w:r>
        <w:rPr>
          <w:rFonts w:ascii="仿宋_GB2312" w:eastAsia="仿宋_GB2312"/>
          <w:spacing w:val="6"/>
          <w:sz w:val="32"/>
          <w:szCs w:val="32"/>
        </w:rPr>
        <w:t>发展纳入</w:t>
      </w:r>
      <w:r>
        <w:rPr>
          <w:rFonts w:hint="eastAsia" w:ascii="仿宋_GB2312" w:eastAsia="仿宋_GB2312"/>
          <w:color w:val="auto"/>
          <w:spacing w:val="6"/>
          <w:sz w:val="32"/>
          <w:szCs w:val="32"/>
          <w:lang w:val="en-US" w:eastAsia="zh-CN"/>
        </w:rPr>
        <w:t>聊城</w:t>
      </w:r>
      <w:r>
        <w:rPr>
          <w:rFonts w:ascii="仿宋_GB2312" w:eastAsia="仿宋_GB2312"/>
          <w:color w:val="auto"/>
          <w:spacing w:val="6"/>
          <w:sz w:val="32"/>
          <w:szCs w:val="32"/>
        </w:rPr>
        <w:t>市</w:t>
      </w:r>
      <w:r>
        <w:rPr>
          <w:rFonts w:ascii="仿宋_GB2312" w:eastAsia="仿宋_GB2312"/>
          <w:spacing w:val="6"/>
          <w:sz w:val="32"/>
          <w:szCs w:val="32"/>
        </w:rPr>
        <w:t>经济社会发展总体规划，健全党委领导、政府负责、部门协同、社会参与机制，明确分工</w:t>
      </w:r>
      <w:r>
        <w:rPr>
          <w:rFonts w:hint="eastAsia" w:ascii="仿宋_GB2312" w:eastAsia="仿宋_GB2312"/>
          <w:spacing w:val="6"/>
          <w:sz w:val="32"/>
          <w:szCs w:val="32"/>
          <w:lang w:eastAsia="zh-CN"/>
        </w:rPr>
        <w:t>、</w:t>
      </w:r>
      <w:r>
        <w:rPr>
          <w:rFonts w:ascii="仿宋_GB2312" w:eastAsia="仿宋_GB2312"/>
          <w:spacing w:val="6"/>
          <w:sz w:val="32"/>
          <w:szCs w:val="32"/>
        </w:rPr>
        <w:t>落实责任，加大配合服务力度，以钉钉子精神狠抓落实。重点抓好统筹规划、标准制定和组织协调，形成推动</w:t>
      </w:r>
      <w:r>
        <w:rPr>
          <w:rFonts w:hint="eastAsia" w:ascii="仿宋_GB2312" w:eastAsia="仿宋_GB2312"/>
          <w:spacing w:val="6"/>
          <w:sz w:val="32"/>
          <w:szCs w:val="32"/>
        </w:rPr>
        <w:t>商务</w:t>
      </w:r>
      <w:r>
        <w:rPr>
          <w:rFonts w:ascii="仿宋_GB2312" w:eastAsia="仿宋_GB2312"/>
          <w:spacing w:val="6"/>
          <w:sz w:val="32"/>
          <w:szCs w:val="32"/>
        </w:rPr>
        <w:t>高质量发展的合力。</w:t>
      </w:r>
    </w:p>
    <w:p>
      <w:pPr>
        <w:pStyle w:val="4"/>
        <w:spacing w:before="156" w:after="156" w:line="415" w:lineRule="auto"/>
        <w:jc w:val="center"/>
        <w:rPr>
          <w:rFonts w:ascii="楷体" w:hAnsi="楷体" w:eastAsia="楷体"/>
        </w:rPr>
      </w:pPr>
      <w:bookmarkStart w:id="44" w:name="_Toc68698343"/>
      <w:r>
        <w:rPr>
          <w:rFonts w:hint="eastAsia" w:ascii="楷体" w:hAnsi="楷体" w:eastAsia="楷体"/>
        </w:rPr>
        <w:t>第二节  落实规划衔接</w:t>
      </w:r>
      <w:bookmarkEnd w:id="44"/>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确保做好</w:t>
      </w:r>
      <w:r>
        <w:rPr>
          <w:rFonts w:hint="eastAsia" w:ascii="仿宋_GB2312" w:eastAsia="仿宋_GB2312"/>
          <w:spacing w:val="6"/>
          <w:sz w:val="32"/>
          <w:szCs w:val="32"/>
        </w:rPr>
        <w:t>商务发展</w:t>
      </w:r>
      <w:r>
        <w:rPr>
          <w:rFonts w:ascii="仿宋_GB2312" w:eastAsia="仿宋_GB2312"/>
          <w:spacing w:val="6"/>
          <w:sz w:val="32"/>
          <w:szCs w:val="32"/>
        </w:rPr>
        <w:t>规划与全市总体规划和其他规划的相互衔接，</w:t>
      </w:r>
      <w:r>
        <w:rPr>
          <w:rFonts w:hint="eastAsia" w:ascii="仿宋_GB2312" w:eastAsia="仿宋_GB2312"/>
          <w:spacing w:val="6"/>
          <w:sz w:val="32"/>
          <w:szCs w:val="32"/>
        </w:rPr>
        <w:t>做好</w:t>
      </w:r>
      <w:r>
        <w:rPr>
          <w:rFonts w:ascii="仿宋_GB2312" w:eastAsia="仿宋_GB2312"/>
          <w:spacing w:val="6"/>
          <w:sz w:val="32"/>
          <w:szCs w:val="32"/>
        </w:rPr>
        <w:t>规划目标的细化、分解和落实</w:t>
      </w:r>
      <w:r>
        <w:rPr>
          <w:rFonts w:hint="eastAsia" w:ascii="仿宋_GB2312" w:eastAsia="仿宋_GB2312"/>
          <w:spacing w:val="6"/>
          <w:sz w:val="32"/>
          <w:szCs w:val="32"/>
        </w:rPr>
        <w:t>工作，</w:t>
      </w:r>
      <w:r>
        <w:rPr>
          <w:rFonts w:ascii="仿宋_GB2312" w:eastAsia="仿宋_GB2312"/>
          <w:spacing w:val="6"/>
          <w:sz w:val="32"/>
          <w:szCs w:val="32"/>
        </w:rPr>
        <w:t>确保</w:t>
      </w:r>
      <w:r>
        <w:rPr>
          <w:rFonts w:hint="eastAsia" w:ascii="仿宋_GB2312" w:eastAsia="仿宋_GB2312"/>
          <w:spacing w:val="6"/>
          <w:sz w:val="32"/>
          <w:szCs w:val="32"/>
        </w:rPr>
        <w:t>商务发展规划与</w:t>
      </w:r>
      <w:r>
        <w:rPr>
          <w:rFonts w:ascii="仿宋_GB2312" w:eastAsia="仿宋_GB2312"/>
          <w:spacing w:val="6"/>
          <w:sz w:val="32"/>
          <w:szCs w:val="32"/>
        </w:rPr>
        <w:t>各级各类规划与规划纲要在总体要求上指向一致、空间配置上相互协调、时序安排上科学合理。</w:t>
      </w:r>
      <w:r>
        <w:rPr>
          <w:rFonts w:hint="eastAsia" w:ascii="仿宋_GB2312" w:eastAsia="仿宋_GB2312"/>
          <w:spacing w:val="6"/>
          <w:sz w:val="32"/>
          <w:szCs w:val="32"/>
        </w:rPr>
        <w:t>积极</w:t>
      </w:r>
      <w:r>
        <w:rPr>
          <w:rFonts w:ascii="仿宋_GB2312" w:eastAsia="仿宋_GB2312"/>
          <w:spacing w:val="6"/>
          <w:sz w:val="32"/>
          <w:szCs w:val="32"/>
        </w:rPr>
        <w:t>争取</w:t>
      </w:r>
      <w:r>
        <w:rPr>
          <w:rFonts w:hint="eastAsia" w:ascii="仿宋_GB2312" w:eastAsia="仿宋_GB2312"/>
          <w:spacing w:val="6"/>
          <w:sz w:val="32"/>
          <w:szCs w:val="32"/>
        </w:rPr>
        <w:t>商务发展</w:t>
      </w:r>
      <w:r>
        <w:rPr>
          <w:rFonts w:ascii="仿宋_GB2312" w:eastAsia="仿宋_GB2312"/>
          <w:spacing w:val="6"/>
          <w:sz w:val="32"/>
          <w:szCs w:val="32"/>
        </w:rPr>
        <w:t>重大工程</w:t>
      </w:r>
      <w:r>
        <w:rPr>
          <w:rFonts w:hint="eastAsia" w:ascii="仿宋_GB2312" w:eastAsia="仿宋_GB2312"/>
          <w:spacing w:val="6"/>
          <w:sz w:val="32"/>
          <w:szCs w:val="32"/>
        </w:rPr>
        <w:t>和</w:t>
      </w:r>
      <w:r>
        <w:rPr>
          <w:rFonts w:ascii="仿宋_GB2312" w:eastAsia="仿宋_GB2312"/>
          <w:spacing w:val="6"/>
          <w:sz w:val="32"/>
          <w:szCs w:val="32"/>
        </w:rPr>
        <w:t>重大项目纳入</w:t>
      </w:r>
      <w:r>
        <w:rPr>
          <w:rFonts w:hint="eastAsia" w:ascii="仿宋_GB2312" w:eastAsia="仿宋_GB2312"/>
          <w:spacing w:val="6"/>
          <w:sz w:val="32"/>
          <w:szCs w:val="32"/>
        </w:rPr>
        <w:t>到山东省商务发展规划和聊城市国民经济和社会发展</w:t>
      </w:r>
      <w:r>
        <w:rPr>
          <w:rFonts w:ascii="仿宋_GB2312" w:eastAsia="仿宋_GB2312"/>
          <w:spacing w:val="6"/>
          <w:sz w:val="32"/>
          <w:szCs w:val="32"/>
        </w:rPr>
        <w:t>规划。</w:t>
      </w:r>
      <w:r>
        <w:rPr>
          <w:rFonts w:hint="eastAsia" w:ascii="仿宋_GB2312" w:eastAsia="仿宋_GB2312"/>
          <w:spacing w:val="6"/>
          <w:sz w:val="32"/>
          <w:szCs w:val="32"/>
        </w:rPr>
        <w:t>健全工作推进机制，细化工作措施，确保上下协同、齐抓共管、形成合力。</w:t>
      </w:r>
    </w:p>
    <w:p>
      <w:pPr>
        <w:pStyle w:val="4"/>
        <w:spacing w:before="156" w:after="156" w:line="415" w:lineRule="auto"/>
        <w:jc w:val="center"/>
        <w:rPr>
          <w:rFonts w:ascii="楷体" w:hAnsi="楷体" w:eastAsia="楷体"/>
        </w:rPr>
      </w:pPr>
      <w:bookmarkStart w:id="45" w:name="_Toc68698344"/>
      <w:r>
        <w:rPr>
          <w:rFonts w:hint="eastAsia" w:ascii="楷体" w:hAnsi="楷体" w:eastAsia="楷体"/>
        </w:rPr>
        <w:t>第三节  做好项目储备</w:t>
      </w:r>
      <w:bookmarkEnd w:id="45"/>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建立商务发展重大项目库，加强重点项目规划、筛选和储备工作，</w:t>
      </w:r>
      <w:r>
        <w:rPr>
          <w:rFonts w:ascii="仿宋_GB2312" w:eastAsia="仿宋_GB2312"/>
          <w:spacing w:val="6"/>
          <w:sz w:val="32"/>
          <w:szCs w:val="32"/>
        </w:rPr>
        <w:t>提高项目的编报水平。</w:t>
      </w:r>
      <w:r>
        <w:rPr>
          <w:rFonts w:hint="eastAsia" w:ascii="仿宋_GB2312" w:eastAsia="仿宋_GB2312"/>
          <w:spacing w:val="6"/>
          <w:sz w:val="32"/>
          <w:szCs w:val="32"/>
        </w:rPr>
        <w:t>加强具有规模化发展的优质项目的引进和储备工作，充分发挥重大项目的引领和聚集效用。</w:t>
      </w:r>
      <w:r>
        <w:rPr>
          <w:rFonts w:ascii="仿宋_GB2312" w:eastAsia="仿宋_GB2312"/>
          <w:spacing w:val="6"/>
          <w:sz w:val="32"/>
          <w:szCs w:val="32"/>
        </w:rPr>
        <w:t>深入调研论证，科学制定项目规划，增强项目规划的前瞻性、实用性、针对性，真正使项目规划经得起时间的检验。完善项目论证</w:t>
      </w:r>
      <w:r>
        <w:rPr>
          <w:rFonts w:hint="eastAsia" w:ascii="仿宋_GB2312" w:eastAsia="仿宋_GB2312"/>
          <w:spacing w:val="6"/>
          <w:sz w:val="32"/>
          <w:szCs w:val="32"/>
        </w:rPr>
        <w:t>，</w:t>
      </w:r>
      <w:r>
        <w:rPr>
          <w:rFonts w:ascii="仿宋_GB2312" w:eastAsia="仿宋_GB2312"/>
          <w:spacing w:val="6"/>
          <w:sz w:val="32"/>
          <w:szCs w:val="32"/>
        </w:rPr>
        <w:t>从项目建议书、可研报告、初步设计等各个环节上严格把关。</w:t>
      </w:r>
    </w:p>
    <w:p>
      <w:pPr>
        <w:pStyle w:val="4"/>
        <w:spacing w:before="156" w:after="156" w:line="415" w:lineRule="auto"/>
        <w:jc w:val="center"/>
        <w:rPr>
          <w:rFonts w:hint="eastAsia" w:ascii="楷体" w:hAnsi="楷体" w:eastAsia="楷体"/>
          <w:color w:val="auto"/>
        </w:rPr>
      </w:pPr>
      <w:bookmarkStart w:id="46" w:name="_Toc73946947"/>
      <w:bookmarkStart w:id="47" w:name="_Toc73947215"/>
      <w:bookmarkStart w:id="48" w:name="_Toc68698345"/>
      <w:r>
        <w:rPr>
          <w:rFonts w:hint="eastAsia" w:ascii="楷体" w:hAnsi="楷体" w:eastAsia="楷体"/>
          <w:color w:val="auto"/>
        </w:rPr>
        <w:t>第四节  推进法治建设</w:t>
      </w:r>
      <w:bookmarkEnd w:id="46"/>
      <w:bookmarkEnd w:id="47"/>
    </w:p>
    <w:p>
      <w:pPr>
        <w:spacing w:line="580" w:lineRule="exact"/>
        <w:ind w:firstLine="64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全面清理废除妨碍统一市场和公平竞争的各种规定和做法，</w:t>
      </w:r>
      <w:r>
        <w:rPr>
          <w:rFonts w:hint="eastAsia" w:ascii="Times New Roman" w:hAnsi="Times New Roman" w:eastAsia="仿宋_GB2312"/>
          <w:color w:val="auto"/>
          <w:sz w:val="32"/>
          <w:szCs w:val="32"/>
          <w:lang w:val="en-US" w:eastAsia="zh-CN"/>
        </w:rPr>
        <w:t>贯彻落实</w:t>
      </w:r>
      <w:r>
        <w:rPr>
          <w:rFonts w:hint="eastAsia" w:ascii="Times New Roman" w:hAnsi="Times New Roman" w:eastAsia="仿宋_GB2312"/>
          <w:color w:val="auto"/>
          <w:sz w:val="32"/>
          <w:szCs w:val="32"/>
        </w:rPr>
        <w:t>与开放型经济发展相匹配、与开放市场环境相适应的商务法规体系。探索海外知识产权维权服务机制，支持重点行业、企业建立知识产权海外维权协会，促进知识产权保护领域的国际交流与合作。</w:t>
      </w:r>
      <w:r>
        <w:rPr>
          <w:rFonts w:hint="eastAsia" w:ascii="Times New Roman" w:hAnsi="Times New Roman" w:eastAsia="仿宋_GB2312"/>
          <w:color w:val="auto"/>
          <w:sz w:val="32"/>
          <w:szCs w:val="32"/>
          <w:lang w:val="en-US" w:eastAsia="zh-CN"/>
        </w:rPr>
        <w:t>完善商务领域执法监管体制机制，加大重点领域执法监管力度，营造良好公平竞争市场环境。</w:t>
      </w:r>
    </w:p>
    <w:p>
      <w:pPr>
        <w:pStyle w:val="4"/>
        <w:spacing w:before="156" w:after="156" w:line="415" w:lineRule="auto"/>
        <w:jc w:val="center"/>
        <w:rPr>
          <w:rFonts w:hint="eastAsia" w:ascii="楷体" w:hAnsi="楷体" w:eastAsia="楷体"/>
        </w:rPr>
      </w:pPr>
    </w:p>
    <w:p>
      <w:pPr>
        <w:pStyle w:val="4"/>
        <w:spacing w:before="156" w:after="156" w:line="415" w:lineRule="auto"/>
        <w:jc w:val="center"/>
        <w:rPr>
          <w:rFonts w:ascii="楷体" w:hAnsi="楷体" w:eastAsia="楷体"/>
        </w:rPr>
      </w:pPr>
      <w:r>
        <w:rPr>
          <w:rFonts w:hint="eastAsia" w:ascii="楷体" w:hAnsi="楷体" w:eastAsia="楷体"/>
        </w:rPr>
        <w:t>第</w:t>
      </w:r>
      <w:r>
        <w:rPr>
          <w:rFonts w:hint="eastAsia" w:ascii="楷体" w:hAnsi="楷体" w:eastAsia="楷体"/>
          <w:lang w:val="en-US" w:eastAsia="zh-CN"/>
        </w:rPr>
        <w:t>五</w:t>
      </w:r>
      <w:r>
        <w:rPr>
          <w:rFonts w:hint="eastAsia" w:ascii="楷体" w:hAnsi="楷体" w:eastAsia="楷体"/>
        </w:rPr>
        <w:t>节  强化评估考核</w:t>
      </w:r>
      <w:bookmarkEnd w:id="48"/>
    </w:p>
    <w:p>
      <w:pPr>
        <w:spacing w:line="360" w:lineRule="auto"/>
        <w:ind w:firstLine="664" w:firstLineChars="200"/>
      </w:pPr>
      <w:r>
        <w:rPr>
          <w:rFonts w:ascii="仿宋_GB2312" w:eastAsia="仿宋_GB2312"/>
          <w:spacing w:val="6"/>
          <w:sz w:val="32"/>
          <w:szCs w:val="32"/>
        </w:rPr>
        <w:t>强化</w:t>
      </w:r>
      <w:r>
        <w:rPr>
          <w:rFonts w:hint="eastAsia" w:ascii="仿宋_GB2312" w:eastAsia="仿宋_GB2312"/>
          <w:spacing w:val="6"/>
          <w:sz w:val="32"/>
          <w:szCs w:val="32"/>
        </w:rPr>
        <w:t>商务发展</w:t>
      </w:r>
      <w:r>
        <w:rPr>
          <w:rFonts w:ascii="仿宋_GB2312" w:eastAsia="仿宋_GB2312"/>
          <w:spacing w:val="6"/>
          <w:sz w:val="32"/>
          <w:szCs w:val="32"/>
        </w:rPr>
        <w:t>规划实施情况跟踪检查，组织开展规划实施中期评估及专项督查。深化工作目标责任制考核，强化目标引领，明晰考核指标体系，坚持考核导向与发展导向、用人导向相统一，将考核结果作为选拔任用领导干部的依据。围绕</w:t>
      </w:r>
      <w:r>
        <w:rPr>
          <w:rFonts w:hint="eastAsia" w:ascii="仿宋_GB2312" w:eastAsia="仿宋_GB2312"/>
          <w:spacing w:val="6"/>
          <w:sz w:val="32"/>
          <w:szCs w:val="32"/>
        </w:rPr>
        <w:t>聊城市商务</w:t>
      </w:r>
      <w:r>
        <w:rPr>
          <w:rFonts w:ascii="仿宋_GB2312" w:eastAsia="仿宋_GB2312"/>
          <w:spacing w:val="6"/>
          <w:sz w:val="32"/>
          <w:szCs w:val="32"/>
        </w:rPr>
        <w:t>发展重点改革任务，加强综合研究和专题研究，开展改革试点，及时总结经验，发挥示范作用。加大经常性督促检查和差异化考核力度，采取集中督导、调研指导、观摩交流、抽查暗访等方式，及时发现制约</w:t>
      </w:r>
      <w:r>
        <w:rPr>
          <w:rFonts w:hint="eastAsia" w:ascii="仿宋_GB2312" w:eastAsia="仿宋_GB2312"/>
          <w:spacing w:val="6"/>
          <w:sz w:val="32"/>
          <w:szCs w:val="32"/>
        </w:rPr>
        <w:t>商务</w:t>
      </w:r>
      <w:r>
        <w:rPr>
          <w:rFonts w:ascii="仿宋_GB2312" w:eastAsia="仿宋_GB2312"/>
          <w:spacing w:val="6"/>
          <w:sz w:val="32"/>
          <w:szCs w:val="32"/>
        </w:rPr>
        <w:t>发展的突出问题，确保</w:t>
      </w:r>
      <w:r>
        <w:rPr>
          <w:rFonts w:hint="eastAsia" w:ascii="仿宋_GB2312" w:eastAsia="仿宋_GB2312"/>
          <w:spacing w:val="6"/>
          <w:sz w:val="32"/>
          <w:szCs w:val="32"/>
        </w:rPr>
        <w:t>“十四五”</w:t>
      </w:r>
      <w:r>
        <w:rPr>
          <w:rFonts w:ascii="仿宋_GB2312" w:eastAsia="仿宋_GB2312"/>
          <w:spacing w:val="6"/>
          <w:sz w:val="32"/>
          <w:szCs w:val="32"/>
        </w:rPr>
        <w:t>期间</w:t>
      </w:r>
      <w:r>
        <w:rPr>
          <w:rFonts w:hint="eastAsia" w:ascii="仿宋_GB2312" w:eastAsia="仿宋_GB2312"/>
          <w:spacing w:val="6"/>
          <w:sz w:val="32"/>
          <w:szCs w:val="32"/>
        </w:rPr>
        <w:t>聊城市商务</w:t>
      </w:r>
      <w:r>
        <w:rPr>
          <w:rFonts w:ascii="仿宋_GB2312" w:eastAsia="仿宋_GB2312"/>
          <w:spacing w:val="6"/>
          <w:sz w:val="32"/>
          <w:szCs w:val="32"/>
        </w:rPr>
        <w:t>改革任务顺利推进，圆满达成预期目标。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79"/>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SdAAAAADAQAADwAAAAAAAAABACAAAAAiAAAAZHJzL2Rvd25yZXYueG1sUEsB&#10;AhQAFAAAAAgAh07iQN1LLeb9AQAADwQAAA4AAAAAAAAAAQAgAAAAHwEAAGRycy9lMm9Eb2MueG1s&#10;UEsFBgAAAAAGAAYAWQEAAI4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79"/>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r>
                            <w:fldChar w:fldCharType="begin"/>
                          </w:r>
                          <w:r>
                            <w:instrText xml:space="preserve"> PAGE  \* MERGEFORMAT </w:instrText>
                          </w:r>
                          <w:r>
                            <w:fldChar w:fldCharType="separate"/>
                          </w:r>
                          <w:r>
                            <w:rPr>
                              <w:sz w:val="18"/>
                            </w:rPr>
                            <w:t>ii</w:t>
                          </w:r>
                          <w:r>
                            <w:rPr>
                              <w:sz w:val="1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PlfknQAAAAAwEAAA8AAAAAAAAAAQAgAAAAIgAAAGRycy9kb3ducmV2LnhtbFBL&#10;AQIUABQAAAAIAIdO4kCtazSg/gEAAA8EAAAOAAAAAAAAAAEAIAAAAB8BAABkcnMvZTJvRG9jLnht&#10;bFBLBQYAAAAABgAGAFkBAACP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ii</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293375"/>
      <w:docPartObj>
        <w:docPartGallery w:val="autotext"/>
      </w:docPartObj>
    </w:sdtPr>
    <w:sdtContent>
      <w:p>
        <w:pPr>
          <w:pStyle w:val="10"/>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F5CA0"/>
    <w:multiLevelType w:val="singleLevel"/>
    <w:tmpl w:val="D49F5C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1A"/>
    <w:rsid w:val="00001856"/>
    <w:rsid w:val="000112BB"/>
    <w:rsid w:val="00036D96"/>
    <w:rsid w:val="00043BD5"/>
    <w:rsid w:val="00051202"/>
    <w:rsid w:val="00074FDC"/>
    <w:rsid w:val="000865AB"/>
    <w:rsid w:val="0009486E"/>
    <w:rsid w:val="000B07D6"/>
    <w:rsid w:val="000B7B4C"/>
    <w:rsid w:val="000C6EF7"/>
    <w:rsid w:val="000D5126"/>
    <w:rsid w:val="001026FA"/>
    <w:rsid w:val="00112017"/>
    <w:rsid w:val="0011467C"/>
    <w:rsid w:val="001325ED"/>
    <w:rsid w:val="00145AF4"/>
    <w:rsid w:val="00146C74"/>
    <w:rsid w:val="00151694"/>
    <w:rsid w:val="00157A57"/>
    <w:rsid w:val="00157AE7"/>
    <w:rsid w:val="00160A20"/>
    <w:rsid w:val="001A46EE"/>
    <w:rsid w:val="001B4101"/>
    <w:rsid w:val="00213C5C"/>
    <w:rsid w:val="00217E7D"/>
    <w:rsid w:val="00223FBC"/>
    <w:rsid w:val="00266272"/>
    <w:rsid w:val="002712A1"/>
    <w:rsid w:val="002A2599"/>
    <w:rsid w:val="002A6B08"/>
    <w:rsid w:val="002B1D1C"/>
    <w:rsid w:val="002B2988"/>
    <w:rsid w:val="002F2A02"/>
    <w:rsid w:val="002F2AFF"/>
    <w:rsid w:val="002F45CE"/>
    <w:rsid w:val="002F6497"/>
    <w:rsid w:val="00314CBC"/>
    <w:rsid w:val="00346A84"/>
    <w:rsid w:val="003478BC"/>
    <w:rsid w:val="00363A62"/>
    <w:rsid w:val="00383F94"/>
    <w:rsid w:val="003923E8"/>
    <w:rsid w:val="003A099B"/>
    <w:rsid w:val="003A169F"/>
    <w:rsid w:val="003C51F9"/>
    <w:rsid w:val="0040111A"/>
    <w:rsid w:val="00441B7C"/>
    <w:rsid w:val="00450133"/>
    <w:rsid w:val="0046277E"/>
    <w:rsid w:val="00466378"/>
    <w:rsid w:val="004771E5"/>
    <w:rsid w:val="004850E9"/>
    <w:rsid w:val="004A50CD"/>
    <w:rsid w:val="004A76C1"/>
    <w:rsid w:val="004C7EF1"/>
    <w:rsid w:val="004E3F6E"/>
    <w:rsid w:val="00501EAA"/>
    <w:rsid w:val="005107AF"/>
    <w:rsid w:val="00510E9C"/>
    <w:rsid w:val="00517C84"/>
    <w:rsid w:val="00533509"/>
    <w:rsid w:val="00535A50"/>
    <w:rsid w:val="0056415F"/>
    <w:rsid w:val="00587F5B"/>
    <w:rsid w:val="00590D3A"/>
    <w:rsid w:val="0059178F"/>
    <w:rsid w:val="005969A0"/>
    <w:rsid w:val="005A3E24"/>
    <w:rsid w:val="005B1B49"/>
    <w:rsid w:val="005C78AF"/>
    <w:rsid w:val="005F22E5"/>
    <w:rsid w:val="005F2C47"/>
    <w:rsid w:val="00603ADE"/>
    <w:rsid w:val="006073E1"/>
    <w:rsid w:val="00611D43"/>
    <w:rsid w:val="00624BAC"/>
    <w:rsid w:val="00632ABA"/>
    <w:rsid w:val="00693B44"/>
    <w:rsid w:val="006D20DA"/>
    <w:rsid w:val="006F22B2"/>
    <w:rsid w:val="00714428"/>
    <w:rsid w:val="007156E8"/>
    <w:rsid w:val="00736F1F"/>
    <w:rsid w:val="00744729"/>
    <w:rsid w:val="007A168C"/>
    <w:rsid w:val="007A376F"/>
    <w:rsid w:val="007C15AB"/>
    <w:rsid w:val="007C6AD1"/>
    <w:rsid w:val="007E28F1"/>
    <w:rsid w:val="00805C69"/>
    <w:rsid w:val="00832F80"/>
    <w:rsid w:val="00850498"/>
    <w:rsid w:val="0088231F"/>
    <w:rsid w:val="008878C1"/>
    <w:rsid w:val="008936E8"/>
    <w:rsid w:val="008B5F51"/>
    <w:rsid w:val="008F2074"/>
    <w:rsid w:val="00981F57"/>
    <w:rsid w:val="009831ED"/>
    <w:rsid w:val="009D5BA7"/>
    <w:rsid w:val="009F4812"/>
    <w:rsid w:val="009F4D81"/>
    <w:rsid w:val="00A31050"/>
    <w:rsid w:val="00A36052"/>
    <w:rsid w:val="00A52C96"/>
    <w:rsid w:val="00A971BA"/>
    <w:rsid w:val="00AF49E6"/>
    <w:rsid w:val="00B11278"/>
    <w:rsid w:val="00B20A1B"/>
    <w:rsid w:val="00B33FC5"/>
    <w:rsid w:val="00B506CB"/>
    <w:rsid w:val="00B62CC4"/>
    <w:rsid w:val="00B643EE"/>
    <w:rsid w:val="00BB01F3"/>
    <w:rsid w:val="00BB736C"/>
    <w:rsid w:val="00BE3729"/>
    <w:rsid w:val="00C01A54"/>
    <w:rsid w:val="00C059AB"/>
    <w:rsid w:val="00C70436"/>
    <w:rsid w:val="00C72FB7"/>
    <w:rsid w:val="00C92E7E"/>
    <w:rsid w:val="00CF3B92"/>
    <w:rsid w:val="00CF3EC3"/>
    <w:rsid w:val="00D07C63"/>
    <w:rsid w:val="00D3355A"/>
    <w:rsid w:val="00D3379B"/>
    <w:rsid w:val="00D54453"/>
    <w:rsid w:val="00D71BD7"/>
    <w:rsid w:val="00D874F2"/>
    <w:rsid w:val="00DB6CE4"/>
    <w:rsid w:val="00DC72E5"/>
    <w:rsid w:val="00DD4F63"/>
    <w:rsid w:val="00DE0941"/>
    <w:rsid w:val="00DE3FD3"/>
    <w:rsid w:val="00DF4E58"/>
    <w:rsid w:val="00E20A1E"/>
    <w:rsid w:val="00E3015C"/>
    <w:rsid w:val="00E47576"/>
    <w:rsid w:val="00E5315C"/>
    <w:rsid w:val="00E53B40"/>
    <w:rsid w:val="00E54C3C"/>
    <w:rsid w:val="00E66BF5"/>
    <w:rsid w:val="00EB5AF6"/>
    <w:rsid w:val="00EC64AD"/>
    <w:rsid w:val="00EF483F"/>
    <w:rsid w:val="00F05A7D"/>
    <w:rsid w:val="00F13DAA"/>
    <w:rsid w:val="00F1430C"/>
    <w:rsid w:val="00F154ED"/>
    <w:rsid w:val="00F34AA0"/>
    <w:rsid w:val="00F81B70"/>
    <w:rsid w:val="00FA4CF5"/>
    <w:rsid w:val="00FA5B5D"/>
    <w:rsid w:val="00FE2937"/>
    <w:rsid w:val="00FF13A7"/>
    <w:rsid w:val="016D5147"/>
    <w:rsid w:val="03C10439"/>
    <w:rsid w:val="060C7CCE"/>
    <w:rsid w:val="08110C83"/>
    <w:rsid w:val="0B0D7F7D"/>
    <w:rsid w:val="0BFD471A"/>
    <w:rsid w:val="0C1A79A9"/>
    <w:rsid w:val="0C651AC4"/>
    <w:rsid w:val="0CAE7FC6"/>
    <w:rsid w:val="0CDF52FF"/>
    <w:rsid w:val="0EDC4CDA"/>
    <w:rsid w:val="0F314C84"/>
    <w:rsid w:val="0F3E6332"/>
    <w:rsid w:val="12023532"/>
    <w:rsid w:val="14423544"/>
    <w:rsid w:val="1A2C0877"/>
    <w:rsid w:val="20AD0079"/>
    <w:rsid w:val="21BD2069"/>
    <w:rsid w:val="22C97A56"/>
    <w:rsid w:val="22F7439B"/>
    <w:rsid w:val="24A837CE"/>
    <w:rsid w:val="25AB4D53"/>
    <w:rsid w:val="266B1E29"/>
    <w:rsid w:val="28A7401B"/>
    <w:rsid w:val="294E482C"/>
    <w:rsid w:val="298161D6"/>
    <w:rsid w:val="2B29150A"/>
    <w:rsid w:val="2E5744AC"/>
    <w:rsid w:val="36A51561"/>
    <w:rsid w:val="37081994"/>
    <w:rsid w:val="39C44579"/>
    <w:rsid w:val="3A7D726D"/>
    <w:rsid w:val="3E3F4FED"/>
    <w:rsid w:val="419C3C5B"/>
    <w:rsid w:val="42C058DC"/>
    <w:rsid w:val="431B7A23"/>
    <w:rsid w:val="4436352D"/>
    <w:rsid w:val="44996599"/>
    <w:rsid w:val="46226293"/>
    <w:rsid w:val="474554DA"/>
    <w:rsid w:val="4982320F"/>
    <w:rsid w:val="49B127F5"/>
    <w:rsid w:val="4B3E2884"/>
    <w:rsid w:val="508F2442"/>
    <w:rsid w:val="512941EF"/>
    <w:rsid w:val="540A5A9D"/>
    <w:rsid w:val="5C39740D"/>
    <w:rsid w:val="5CE42FBA"/>
    <w:rsid w:val="5D3E78A7"/>
    <w:rsid w:val="5D8D027A"/>
    <w:rsid w:val="5E69618D"/>
    <w:rsid w:val="5FB638AA"/>
    <w:rsid w:val="60395BB4"/>
    <w:rsid w:val="61490548"/>
    <w:rsid w:val="61CB3E23"/>
    <w:rsid w:val="625C071C"/>
    <w:rsid w:val="62C608FD"/>
    <w:rsid w:val="67207AFD"/>
    <w:rsid w:val="683362C9"/>
    <w:rsid w:val="68D646A0"/>
    <w:rsid w:val="69375F92"/>
    <w:rsid w:val="6A6D407E"/>
    <w:rsid w:val="6B320768"/>
    <w:rsid w:val="6BC85F25"/>
    <w:rsid w:val="6D34279B"/>
    <w:rsid w:val="719E17A4"/>
    <w:rsid w:val="72D9556A"/>
    <w:rsid w:val="76C13C0F"/>
    <w:rsid w:val="7A511099"/>
    <w:rsid w:val="7AF3455D"/>
    <w:rsid w:val="7B3315AE"/>
    <w:rsid w:val="7B3927A3"/>
    <w:rsid w:val="7BEB74AD"/>
    <w:rsid w:val="7CA9156E"/>
    <w:rsid w:val="7E810A69"/>
    <w:rsid w:val="7EA0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9"/>
    <w:pPr>
      <w:spacing w:before="100" w:beforeAutospacing="1" w:after="100" w:afterAutospacing="1"/>
      <w:jc w:val="center"/>
      <w:outlineLvl w:val="0"/>
    </w:pPr>
    <w:rPr>
      <w:rFonts w:ascii="宋体" w:hAnsi="宋体" w:eastAsia="黑体" w:cs="宋体"/>
      <w:b/>
      <w:kern w:val="44"/>
      <w:sz w:val="32"/>
      <w:szCs w:val="48"/>
    </w:rPr>
  </w:style>
  <w:style w:type="paragraph" w:styleId="4">
    <w:name w:val="heading 2"/>
    <w:basedOn w:val="1"/>
    <w:next w:val="1"/>
    <w:link w:val="22"/>
    <w:qFormat/>
    <w:uiPriority w:val="99"/>
    <w:pPr>
      <w:keepNext/>
      <w:keepLines/>
      <w:spacing w:before="240" w:after="240" w:line="480" w:lineRule="auto"/>
      <w:outlineLvl w:val="1"/>
    </w:pPr>
    <w:rPr>
      <w:rFonts w:ascii="Cambria" w:hAnsi="Cambria" w:eastAsia="楷体_GB2312" w:cs="Times New Roman"/>
      <w:b/>
      <w:bCs/>
      <w:kern w:val="0"/>
      <w:sz w:val="32"/>
      <w:szCs w:val="32"/>
    </w:rPr>
  </w:style>
  <w:style w:type="paragraph" w:styleId="5">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23"/>
    <w:qFormat/>
    <w:uiPriority w:val="99"/>
    <w:pPr>
      <w:snapToGrid w:val="0"/>
      <w:jc w:val="left"/>
    </w:pPr>
    <w:rPr>
      <w:rFonts w:ascii="Calibri" w:hAnsi="Calibri" w:eastAsia="宋体" w:cs="Times New Roman"/>
      <w:sz w:val="18"/>
      <w:szCs w:val="18"/>
    </w:rPr>
  </w:style>
  <w:style w:type="paragraph" w:styleId="6">
    <w:name w:val="caption"/>
    <w:basedOn w:val="1"/>
    <w:next w:val="1"/>
    <w:qFormat/>
    <w:uiPriority w:val="35"/>
    <w:rPr>
      <w:rFonts w:ascii="宋体" w:hAnsi="宋体" w:eastAsia="Verdana" w:cs="Calibri"/>
      <w:sz w:val="20"/>
      <w:szCs w:val="20"/>
    </w:rPr>
  </w:style>
  <w:style w:type="paragraph" w:styleId="7">
    <w:name w:val="Document Map"/>
    <w:basedOn w:val="1"/>
    <w:link w:val="20"/>
    <w:semiHidden/>
    <w:unhideWhenUsed/>
    <w:qFormat/>
    <w:uiPriority w:val="99"/>
    <w:rPr>
      <w:rFonts w:ascii="宋体" w:eastAsia="宋体"/>
      <w:sz w:val="18"/>
      <w:szCs w:val="18"/>
    </w:rPr>
  </w:style>
  <w:style w:type="paragraph" w:styleId="8">
    <w:name w:val="Plain Text"/>
    <w:basedOn w:val="1"/>
    <w:link w:val="26"/>
    <w:qFormat/>
    <w:uiPriority w:val="0"/>
    <w:rPr>
      <w:rFonts w:ascii="宋体" w:hAnsi="Courier New" w:cs="Courier New"/>
      <w:szCs w:val="21"/>
    </w:rPr>
  </w:style>
  <w:style w:type="paragraph" w:styleId="9">
    <w:name w:val="Balloon Text"/>
    <w:basedOn w:val="1"/>
    <w:link w:val="27"/>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Calibri" w:hAnsi="Calibri" w:eastAsia="宋体" w:cs="Times New Roman"/>
    </w:rPr>
  </w:style>
  <w:style w:type="paragraph" w:styleId="13">
    <w:name w:val="toc 2"/>
    <w:basedOn w:val="1"/>
    <w:next w:val="1"/>
    <w:unhideWhenUsed/>
    <w:qFormat/>
    <w:uiPriority w:val="39"/>
    <w:pPr>
      <w:ind w:left="420" w:leftChars="200"/>
    </w:pPr>
    <w:rPr>
      <w:rFonts w:ascii="Calibri" w:hAnsi="Calibri" w:eastAsia="宋体" w:cs="Times New Roman"/>
    </w:rPr>
  </w:style>
  <w:style w:type="table" w:styleId="15">
    <w:name w:val="Table Grid"/>
    <w:basedOn w:val="1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unhideWhenUsed/>
    <w:qFormat/>
    <w:uiPriority w:val="99"/>
    <w:rPr>
      <w:color w:val="0000FF"/>
      <w:u w:val="single"/>
    </w:rPr>
  </w:style>
  <w:style w:type="character" w:customStyle="1" w:styleId="18">
    <w:name w:val="页眉 Char"/>
    <w:basedOn w:val="16"/>
    <w:link w:val="11"/>
    <w:semiHidden/>
    <w:qFormat/>
    <w:uiPriority w:val="99"/>
    <w:rPr>
      <w:sz w:val="18"/>
      <w:szCs w:val="18"/>
    </w:rPr>
  </w:style>
  <w:style w:type="character" w:customStyle="1" w:styleId="19">
    <w:name w:val="页脚 Char"/>
    <w:basedOn w:val="16"/>
    <w:link w:val="10"/>
    <w:qFormat/>
    <w:uiPriority w:val="99"/>
    <w:rPr>
      <w:sz w:val="18"/>
      <w:szCs w:val="18"/>
    </w:rPr>
  </w:style>
  <w:style w:type="character" w:customStyle="1" w:styleId="20">
    <w:name w:val="文档结构图 Char"/>
    <w:basedOn w:val="16"/>
    <w:link w:val="7"/>
    <w:semiHidden/>
    <w:qFormat/>
    <w:uiPriority w:val="99"/>
    <w:rPr>
      <w:rFonts w:ascii="宋体" w:eastAsia="宋体"/>
      <w:sz w:val="18"/>
      <w:szCs w:val="18"/>
    </w:rPr>
  </w:style>
  <w:style w:type="character" w:customStyle="1" w:styleId="21">
    <w:name w:val="标题 1 Char"/>
    <w:basedOn w:val="16"/>
    <w:link w:val="3"/>
    <w:qFormat/>
    <w:uiPriority w:val="99"/>
    <w:rPr>
      <w:rFonts w:ascii="宋体" w:hAnsi="宋体" w:eastAsia="黑体" w:cs="宋体"/>
      <w:b/>
      <w:kern w:val="44"/>
      <w:sz w:val="32"/>
      <w:szCs w:val="48"/>
    </w:rPr>
  </w:style>
  <w:style w:type="character" w:customStyle="1" w:styleId="22">
    <w:name w:val="标题 2 Char"/>
    <w:basedOn w:val="16"/>
    <w:link w:val="4"/>
    <w:qFormat/>
    <w:uiPriority w:val="99"/>
    <w:rPr>
      <w:rFonts w:ascii="Cambria" w:hAnsi="Cambria" w:eastAsia="楷体_GB2312" w:cs="Times New Roman"/>
      <w:b/>
      <w:bCs/>
      <w:kern w:val="0"/>
      <w:sz w:val="32"/>
      <w:szCs w:val="32"/>
    </w:rPr>
  </w:style>
  <w:style w:type="character" w:customStyle="1" w:styleId="23">
    <w:name w:val="脚注文本 Char"/>
    <w:basedOn w:val="16"/>
    <w:link w:val="2"/>
    <w:qFormat/>
    <w:uiPriority w:val="99"/>
    <w:rPr>
      <w:rFonts w:ascii="Calibri" w:hAnsi="Calibri" w:eastAsia="宋体" w:cs="Times New Roman"/>
      <w:sz w:val="18"/>
      <w:szCs w:val="18"/>
    </w:rPr>
  </w:style>
  <w:style w:type="paragraph" w:customStyle="1" w:styleId="24">
    <w:name w:val="p0"/>
    <w:basedOn w:val="1"/>
    <w:qFormat/>
    <w:uiPriority w:val="99"/>
    <w:pPr>
      <w:widowControl/>
    </w:pPr>
    <w:rPr>
      <w:rFonts w:ascii="Calibri" w:hAnsi="Calibri" w:eastAsia="宋体" w:cs="宋体"/>
      <w:kern w:val="0"/>
      <w:szCs w:val="21"/>
    </w:rPr>
  </w:style>
  <w:style w:type="character" w:customStyle="1" w:styleId="25">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6">
    <w:name w:val="纯文本 Char"/>
    <w:basedOn w:val="16"/>
    <w:link w:val="8"/>
    <w:qFormat/>
    <w:uiPriority w:val="0"/>
    <w:rPr>
      <w:rFonts w:ascii="宋体" w:hAnsi="Courier New" w:cs="Courier New"/>
      <w:szCs w:val="21"/>
    </w:rPr>
  </w:style>
  <w:style w:type="character" w:customStyle="1" w:styleId="27">
    <w:name w:val="批注框文本 Char"/>
    <w:basedOn w:val="16"/>
    <w:link w:val="9"/>
    <w:semiHidden/>
    <w:qFormat/>
    <w:uiPriority w:val="99"/>
    <w:rPr>
      <w:sz w:val="18"/>
      <w:szCs w:val="18"/>
    </w:rPr>
  </w:style>
  <w:style w:type="paragraph" w:customStyle="1" w:styleId="28">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9">
    <w:name w:val="Char"/>
    <w:basedOn w:val="1"/>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5A503-73BC-4D4C-8DB9-9C50B3872DDC}">
  <ds:schemaRefs/>
</ds:datastoreItem>
</file>

<file path=docProps/app.xml><?xml version="1.0" encoding="utf-8"?>
<Properties xmlns="http://schemas.openxmlformats.org/officeDocument/2006/extended-properties" xmlns:vt="http://schemas.openxmlformats.org/officeDocument/2006/docPropsVTypes">
  <Template>Normal</Template>
  <Pages>47</Pages>
  <Words>3502</Words>
  <Characters>19964</Characters>
  <Lines>166</Lines>
  <Paragraphs>46</Paragraphs>
  <TotalTime>19</TotalTime>
  <ScaleCrop>false</ScaleCrop>
  <LinksUpToDate>false</LinksUpToDate>
  <CharactersWithSpaces>23420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2021-01-26T14:17:00Z</dcterms:created>
  <dc:creator>win10</dc:creator>
  <cp:lastModifiedBy>不服不行</cp:lastModifiedBy>
  <cp:lastPrinted>2021-06-17T00:53:00Z</cp:lastPrinted>
  <dcterms:modified xsi:type="dcterms:W3CDTF">2021-06-29T07:09:02Z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3C4D25F27D0F4656BFC31F6CE6934271</vt:lpwstr>
  </property>
</Properties>
</file>