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0" distR="0" simplePos="0" relativeHeight="251660288" behindDoc="0" locked="0" layoutInCell="1" allowOverlap="1">
                <wp:simplePos x="0" y="0"/>
                <wp:positionH relativeFrom="column">
                  <wp:posOffset>152400</wp:posOffset>
                </wp:positionH>
                <wp:positionV relativeFrom="paragraph">
                  <wp:posOffset>355600</wp:posOffset>
                </wp:positionV>
                <wp:extent cx="4343400" cy="1130300"/>
                <wp:effectExtent l="0" t="0" r="0" b="12700"/>
                <wp:wrapNone/>
                <wp:docPr id="1" name="_x0000_s1035"/>
                <wp:cNvGraphicFramePr/>
                <a:graphic xmlns:a="http://schemas.openxmlformats.org/drawingml/2006/main">
                  <a:graphicData uri="http://schemas.microsoft.com/office/word/2010/wordprocessingShape">
                    <wps:wsp>
                      <wps:cNvSpPr/>
                      <wps:spPr>
                        <a:xfrm>
                          <a:off x="0" y="0"/>
                          <a:ext cx="4343400" cy="1130300"/>
                        </a:xfrm>
                        <a:prstGeom prst="rect">
                          <a:avLst/>
                        </a:prstGeom>
                        <a:solidFill>
                          <a:srgbClr val="FFFFFF"/>
                        </a:solidFill>
                      </wps:spPr>
                      <wps:txbx>
                        <w:txbxContent>
                          <w:p>
                            <w:pPr>
                              <w:pStyle w:val="15"/>
                              <w:spacing w:beforeAutospacing="0" w:afterAutospacing="0" w:line="900" w:lineRule="exact"/>
                              <w:jc w:val="distribute"/>
                              <w:rPr>
                                <w:rFonts w:hint="eastAsia" w:hAnsi="仿宋" w:eastAsia="方正小标宋简体"/>
                                <w:bCs/>
                                <w:color w:val="FF0000"/>
                                <w:w w:val="80"/>
                                <w:sz w:val="72"/>
                                <w:szCs w:val="72"/>
                                <w:lang w:eastAsia="zh-CN"/>
                              </w:rPr>
                            </w:pPr>
                            <w:r>
                              <w:rPr>
                                <w:rFonts w:hint="eastAsia" w:hAnsi="仿宋" w:eastAsia="方正小标宋简体"/>
                                <w:bCs/>
                                <w:color w:val="FF0000"/>
                                <w:w w:val="80"/>
                                <w:sz w:val="72"/>
                                <w:szCs w:val="72"/>
                                <w:lang w:eastAsia="zh-CN"/>
                              </w:rPr>
                              <w:t>聊城</w:t>
                            </w:r>
                            <w:r>
                              <w:rPr>
                                <w:rFonts w:hint="eastAsia" w:hAnsi="仿宋" w:eastAsia="方正小标宋简体"/>
                                <w:bCs/>
                                <w:color w:val="FF0000"/>
                                <w:w w:val="80"/>
                                <w:sz w:val="72"/>
                                <w:szCs w:val="72"/>
                              </w:rPr>
                              <w:t>市商务局</w:t>
                            </w:r>
                          </w:p>
                          <w:p>
                            <w:pPr>
                              <w:pStyle w:val="15"/>
                              <w:spacing w:beforeAutospacing="0" w:afterAutospacing="0" w:line="900" w:lineRule="exact"/>
                              <w:jc w:val="distribute"/>
                              <w:rPr>
                                <w:rFonts w:hint="eastAsia" w:hAnsi="仿宋" w:eastAsia="方正小标宋简体"/>
                                <w:bCs/>
                                <w:color w:val="FF0000"/>
                                <w:w w:val="80"/>
                                <w:sz w:val="72"/>
                                <w:szCs w:val="72"/>
                                <w:lang w:eastAsia="zh-CN"/>
                              </w:rPr>
                            </w:pPr>
                            <w:r>
                              <w:rPr>
                                <w:rFonts w:hint="eastAsia" w:hAnsi="仿宋" w:eastAsia="方正小标宋简体"/>
                                <w:bCs/>
                                <w:color w:val="FF0000"/>
                                <w:w w:val="80"/>
                                <w:sz w:val="72"/>
                                <w:szCs w:val="72"/>
                                <w:lang w:eastAsia="zh-CN"/>
                              </w:rPr>
                              <w:t>聊城</w:t>
                            </w:r>
                            <w:r>
                              <w:rPr>
                                <w:rFonts w:hint="eastAsia" w:hAnsi="仿宋" w:eastAsia="方正小标宋简体"/>
                                <w:bCs/>
                                <w:color w:val="FF0000"/>
                                <w:w w:val="80"/>
                                <w:sz w:val="72"/>
                                <w:szCs w:val="72"/>
                              </w:rPr>
                              <w:t>市财政局</w:t>
                            </w:r>
                          </w:p>
                          <w:p/>
                        </w:txbxContent>
                      </wps:txbx>
                      <wps:bodyPr rot="0" vert="horz" wrap="square" lIns="0" tIns="0" rIns="0" bIns="0" anchor="t" anchorCtr="0"/>
                    </wps:wsp>
                  </a:graphicData>
                </a:graphic>
              </wp:anchor>
            </w:drawing>
          </mc:Choice>
          <mc:Fallback>
            <w:pict>
              <v:rect id="_x0000_s1035" o:spid="_x0000_s1026" o:spt="1" style="position:absolute;left:0pt;margin-left:12pt;margin-top:28pt;height:89pt;width:342pt;z-index:251660288;mso-width-relative:page;mso-height-relative:page;" fillcolor="#FFFFFF" filled="t" stroked="f" coordsize="21600,21600" o:gfxdata="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A7YRd1AAAAAkBAAAPAAAAAAAAAAEAIAAAACIAAABkcnMvZG93&#10;bnJldi54bWxQSwECFAAUAAAACACHTuJAJgRRKssBAACqAwAADgAAAAAAAAABACAAAAAjAQAAZHJz&#10;L2Uyb0RvYy54bWxQSwUGAAAAAAYABgBZAQAAYAUAAAAA&#10;">
                <v:fill on="t" focussize="0,0"/>
                <v:stroke on="f"/>
                <v:imagedata o:title=""/>
                <o:lock v:ext="edit" aspectratio="f"/>
                <v:textbox inset="0mm,0mm,0mm,0mm">
                  <w:txbxContent>
                    <w:p>
                      <w:pPr>
                        <w:pStyle w:val="15"/>
                        <w:spacing w:beforeAutospacing="0" w:afterAutospacing="0" w:line="900" w:lineRule="exact"/>
                        <w:jc w:val="distribute"/>
                        <w:rPr>
                          <w:rFonts w:hint="eastAsia" w:hAnsi="仿宋" w:eastAsia="方正小标宋简体"/>
                          <w:bCs/>
                          <w:color w:val="FF0000"/>
                          <w:w w:val="80"/>
                          <w:sz w:val="72"/>
                          <w:szCs w:val="72"/>
                          <w:lang w:eastAsia="zh-CN"/>
                        </w:rPr>
                      </w:pPr>
                      <w:r>
                        <w:rPr>
                          <w:rFonts w:hint="eastAsia" w:hAnsi="仿宋" w:eastAsia="方正小标宋简体"/>
                          <w:bCs/>
                          <w:color w:val="FF0000"/>
                          <w:w w:val="80"/>
                          <w:sz w:val="72"/>
                          <w:szCs w:val="72"/>
                          <w:lang w:eastAsia="zh-CN"/>
                        </w:rPr>
                        <w:t>聊城</w:t>
                      </w:r>
                      <w:r>
                        <w:rPr>
                          <w:rFonts w:hint="eastAsia" w:hAnsi="仿宋" w:eastAsia="方正小标宋简体"/>
                          <w:bCs/>
                          <w:color w:val="FF0000"/>
                          <w:w w:val="80"/>
                          <w:sz w:val="72"/>
                          <w:szCs w:val="72"/>
                        </w:rPr>
                        <w:t>市商务局</w:t>
                      </w:r>
                    </w:p>
                    <w:p>
                      <w:pPr>
                        <w:pStyle w:val="15"/>
                        <w:spacing w:beforeAutospacing="0" w:afterAutospacing="0" w:line="900" w:lineRule="exact"/>
                        <w:jc w:val="distribute"/>
                        <w:rPr>
                          <w:rFonts w:hint="eastAsia" w:hAnsi="仿宋" w:eastAsia="方正小标宋简体"/>
                          <w:bCs/>
                          <w:color w:val="FF0000"/>
                          <w:w w:val="80"/>
                          <w:sz w:val="72"/>
                          <w:szCs w:val="72"/>
                          <w:lang w:eastAsia="zh-CN"/>
                        </w:rPr>
                      </w:pPr>
                      <w:r>
                        <w:rPr>
                          <w:rFonts w:hint="eastAsia" w:hAnsi="仿宋" w:eastAsia="方正小标宋简体"/>
                          <w:bCs/>
                          <w:color w:val="FF0000"/>
                          <w:w w:val="80"/>
                          <w:sz w:val="72"/>
                          <w:szCs w:val="72"/>
                          <w:lang w:eastAsia="zh-CN"/>
                        </w:rPr>
                        <w:t>聊城</w:t>
                      </w:r>
                      <w:r>
                        <w:rPr>
                          <w:rFonts w:hint="eastAsia" w:hAnsi="仿宋" w:eastAsia="方正小标宋简体"/>
                          <w:bCs/>
                          <w:color w:val="FF0000"/>
                          <w:w w:val="80"/>
                          <w:sz w:val="72"/>
                          <w:szCs w:val="72"/>
                        </w:rPr>
                        <w:t>市财政局</w:t>
                      </w:r>
                    </w:p>
                    <w:p/>
                  </w:txbxContent>
                </v:textbox>
              </v:rect>
            </w:pict>
          </mc:Fallback>
        </mc:AlternateContent>
      </w:r>
    </w:p>
    <w:p>
      <w:pPr>
        <w:jc w:val="center"/>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0" distR="0" simplePos="0" relativeHeight="251660288" behindDoc="0" locked="0" layoutInCell="1" allowOverlap="1">
                <wp:simplePos x="0" y="0"/>
                <wp:positionH relativeFrom="column">
                  <wp:posOffset>4558665</wp:posOffset>
                </wp:positionH>
                <wp:positionV relativeFrom="paragraph">
                  <wp:posOffset>139065</wp:posOffset>
                </wp:positionV>
                <wp:extent cx="1028700" cy="787400"/>
                <wp:effectExtent l="0" t="0" r="0" b="12700"/>
                <wp:wrapNone/>
                <wp:docPr id="2" name="_x0000_s1036"/>
                <wp:cNvGraphicFramePr/>
                <a:graphic xmlns:a="http://schemas.openxmlformats.org/drawingml/2006/main">
                  <a:graphicData uri="http://schemas.microsoft.com/office/word/2010/wordprocessingShape">
                    <wps:wsp>
                      <wps:cNvSpPr/>
                      <wps:spPr>
                        <a:xfrm>
                          <a:off x="0" y="0"/>
                          <a:ext cx="1028700" cy="787400"/>
                        </a:xfrm>
                        <a:prstGeom prst="rect">
                          <a:avLst/>
                        </a:prstGeom>
                        <a:solidFill>
                          <a:prstClr val="white"/>
                        </a:solidFill>
                      </wps:spPr>
                      <wps:txbx>
                        <w:txbxContent>
                          <w:p>
                            <w:pPr>
                              <w:spacing w:beforeAutospacing="0" w:afterAutospacing="0" w:line="1180" w:lineRule="exact"/>
                              <w:rPr>
                                <w:rFonts w:hint="eastAsia" w:ascii="方正小标宋简体" w:eastAsia="方正小标宋简体"/>
                                <w:color w:val="FF0000"/>
                                <w:w w:val="66"/>
                                <w:sz w:val="108"/>
                                <w:szCs w:val="108"/>
                              </w:rPr>
                            </w:pPr>
                            <w:r>
                              <w:rPr>
                                <w:rFonts w:hint="eastAsia" w:ascii="方正小标宋简体" w:eastAsia="方正小标宋简体"/>
                                <w:color w:val="FF0000"/>
                                <w:w w:val="66"/>
                                <w:sz w:val="108"/>
                                <w:szCs w:val="108"/>
                              </w:rPr>
                              <w:t>文件</w:t>
                            </w:r>
                          </w:p>
                          <w:p/>
                        </w:txbxContent>
                      </wps:txbx>
                      <wps:bodyPr rot="0" vert="horz" wrap="square" lIns="0" tIns="0" rIns="0" bIns="0" anchor="t" anchorCtr="0"/>
                    </wps:wsp>
                  </a:graphicData>
                </a:graphic>
              </wp:anchor>
            </w:drawing>
          </mc:Choice>
          <mc:Fallback>
            <w:pict>
              <v:rect id="_x0000_s1036" o:spid="_x0000_s1026" o:spt="1" style="position:absolute;left:0pt;margin-left:358.95pt;margin-top:10.95pt;height:62pt;width:81pt;z-index:251660288;mso-width-relative:page;mso-height-relative:page;" fillcolor="#FFFFFF" filled="t" stroked="f" coordsize="21600,21600" o:gfxdata="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TcEFY1gAAAAoBAAAPAAAAAAAAAAEAIAAAACIAAABkcnMv&#10;ZG93bnJldi54bWxQSwECFAAUAAAACACHTuJAzAbDyMwBAACoAwAADgAAAAAAAAABACAAAAAlAQAA&#10;ZHJzL2Uyb0RvYy54bWxQSwUGAAAAAAYABgBZAQAAYwUAAAAA&#10;">
                <v:fill on="t" focussize="0,0"/>
                <v:stroke on="f"/>
                <v:imagedata o:title=""/>
                <o:lock v:ext="edit" aspectratio="f"/>
                <v:textbox inset="0mm,0mm,0mm,0mm">
                  <w:txbxContent>
                    <w:p>
                      <w:pPr>
                        <w:spacing w:beforeAutospacing="0" w:afterAutospacing="0" w:line="1180" w:lineRule="exact"/>
                        <w:rPr>
                          <w:rFonts w:hint="eastAsia" w:ascii="方正小标宋简体" w:eastAsia="方正小标宋简体"/>
                          <w:color w:val="FF0000"/>
                          <w:w w:val="66"/>
                          <w:sz w:val="108"/>
                          <w:szCs w:val="108"/>
                        </w:rPr>
                      </w:pPr>
                      <w:r>
                        <w:rPr>
                          <w:rFonts w:hint="eastAsia" w:ascii="方正小标宋简体" w:eastAsia="方正小标宋简体"/>
                          <w:color w:val="FF0000"/>
                          <w:w w:val="66"/>
                          <w:sz w:val="108"/>
                          <w:szCs w:val="108"/>
                        </w:rPr>
                        <w:t>文件</w:t>
                      </w:r>
                    </w:p>
                    <w:p/>
                  </w:txbxContent>
                </v:textbox>
              </v:rect>
            </w:pict>
          </mc:Fallback>
        </mc:AlternateContent>
      </w:r>
    </w:p>
    <w:p>
      <w:pPr>
        <w:jc w:val="center"/>
        <w:rPr>
          <w:rFonts w:hint="eastAsia" w:ascii="仿宋" w:hAnsi="仿宋" w:eastAsia="仿宋"/>
          <w:sz w:val="32"/>
          <w:szCs w:val="32"/>
        </w:rPr>
      </w:pPr>
    </w:p>
    <w:p>
      <w:pPr>
        <w:jc w:val="both"/>
        <w:rPr>
          <w:rFonts w:hint="eastAsia" w:ascii="仿宋_GB2312" w:hAnsi="仿宋" w:eastAsia="仿宋_GB2312"/>
          <w:sz w:val="32"/>
          <w:szCs w:val="32"/>
        </w:rPr>
      </w:pPr>
    </w:p>
    <w:p>
      <w:pPr>
        <w:jc w:val="center"/>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eastAsia="zh-CN"/>
        </w:rPr>
        <w:t>聊</w:t>
      </w:r>
      <w:r>
        <w:rPr>
          <w:rFonts w:hint="eastAsia" w:ascii="仿宋_GB2312" w:hAnsi="仿宋_GB2312" w:eastAsia="仿宋_GB2312"/>
          <w:color w:val="000000"/>
          <w:kern w:val="0"/>
          <w:sz w:val="32"/>
          <w:szCs w:val="32"/>
        </w:rPr>
        <w:t>商</w:t>
      </w:r>
      <w:r>
        <w:rPr>
          <w:rFonts w:hint="eastAsia" w:ascii="仿宋_GB2312" w:hAnsi="仿宋_GB2312" w:eastAsia="仿宋_GB2312"/>
          <w:color w:val="000000"/>
          <w:kern w:val="0"/>
          <w:sz w:val="32"/>
          <w:szCs w:val="32"/>
          <w:lang w:eastAsia="zh-CN"/>
        </w:rPr>
        <w:t>务</w:t>
      </w:r>
      <w:r>
        <w:rPr>
          <w:rFonts w:hint="eastAsia" w:ascii="仿宋_GB2312" w:hAnsi="仿宋_GB2312" w:eastAsia="仿宋_GB2312"/>
          <w:color w:val="000000"/>
          <w:kern w:val="0"/>
          <w:sz w:val="32"/>
          <w:szCs w:val="32"/>
        </w:rPr>
        <w:t>字</w:t>
      </w:r>
      <w:r>
        <w:rPr>
          <w:rFonts w:hint="eastAsia" w:ascii="仿宋_GB2312" w:hAnsi="仿宋_GB2312" w:eastAsia="仿宋_GB2312"/>
          <w:color w:val="000000"/>
          <w:kern w:val="0"/>
          <w:sz w:val="32"/>
          <w:szCs w:val="32"/>
          <w:lang w:eastAsia="zh-CN"/>
        </w:rPr>
        <w:t>〔</w:t>
      </w:r>
      <w:r>
        <w:rPr>
          <w:rFonts w:hint="eastAsia" w:ascii="仿宋_GB2312" w:hAnsi="仿宋_GB2312" w:eastAsia="仿宋_GB2312"/>
          <w:color w:val="000000"/>
          <w:kern w:val="0"/>
          <w:sz w:val="32"/>
          <w:szCs w:val="32"/>
          <w:lang w:val="en-US" w:eastAsia="zh-CN"/>
        </w:rPr>
        <w:t>2024</w:t>
      </w:r>
      <w:r>
        <w:rPr>
          <w:rFonts w:hint="eastAsia" w:ascii="仿宋_GB2312" w:hAnsi="仿宋_GB2312" w:eastAsia="仿宋_GB2312"/>
          <w:color w:val="000000"/>
          <w:kern w:val="0"/>
          <w:sz w:val="32"/>
          <w:szCs w:val="32"/>
          <w:lang w:eastAsia="zh-CN"/>
        </w:rPr>
        <w:t>〕</w:t>
      </w:r>
      <w:r>
        <w:rPr>
          <w:rFonts w:hint="eastAsia" w:ascii="仿宋_GB2312" w:hAnsi="仿宋_GB2312" w:eastAsia="仿宋_GB2312"/>
          <w:color w:val="000000"/>
          <w:kern w:val="0"/>
          <w:sz w:val="32"/>
          <w:szCs w:val="32"/>
          <w:lang w:val="en-US" w:eastAsia="zh-CN"/>
        </w:rPr>
        <w:t>1</w:t>
      </w:r>
      <w:r>
        <w:rPr>
          <w:rFonts w:hint="eastAsia" w:ascii="仿宋_GB2312" w:hAnsi="仿宋_GB2312" w:eastAsia="仿宋_GB2312"/>
          <w:color w:val="000000"/>
          <w:kern w:val="0"/>
          <w:sz w:val="32"/>
          <w:szCs w:val="32"/>
        </w:rPr>
        <w:t>号</w:t>
      </w:r>
    </w:p>
    <w:p>
      <w:pPr>
        <w:jc w:val="both"/>
        <w:rPr>
          <w:rFonts w:hint="eastAsia" w:ascii="Times New Roman" w:hAnsi="Times New Roman" w:eastAsia="仿宋_GB2312"/>
          <w:color w:val="000000"/>
          <w:kern w:val="0"/>
          <w:sz w:val="44"/>
          <w:szCs w:val="44"/>
        </w:rPr>
      </w:pPr>
      <w:r>
        <w:rPr>
          <w:rFonts w:hint="eastAsia" w:ascii="Times New Roman" w:hAnsi="Times New Roman" w:eastAsia="仿宋_GB2312"/>
          <w:color w:val="000000"/>
          <w:kern w:val="0"/>
          <w:sz w:val="44"/>
          <w:szCs w:val="44"/>
        </w:rP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5613400" cy="12700"/>
                <wp:effectExtent l="0" t="4445" r="6350" b="11430"/>
                <wp:wrapNone/>
                <wp:docPr id="3" name="_x0000_s1037"/>
                <wp:cNvGraphicFramePr/>
                <a:graphic xmlns:a="http://schemas.openxmlformats.org/drawingml/2006/main">
                  <a:graphicData uri="http://schemas.microsoft.com/office/word/2010/wordprocessingShape">
                    <wps:wsp>
                      <wps:cNvCnPr/>
                      <wps:spPr>
                        <a:xfrm>
                          <a:off x="0" y="0"/>
                          <a:ext cx="5613400" cy="12700"/>
                        </a:xfrm>
                        <a:prstGeom prst="line">
                          <a:avLst/>
                        </a:prstGeom>
                        <a:ln>
                          <a:solidFill>
                            <a:srgbClr val="FF0000"/>
                          </a:solidFill>
                        </a:ln>
                      </wps:spPr>
                      <wps:bodyPr rot="0" vert="horz" wrap="square" lIns="0" tIns="0" rIns="0" bIns="0" anchor="t" anchorCtr="0"/>
                    </wps:wsp>
                  </a:graphicData>
                </a:graphic>
              </wp:anchor>
            </w:drawing>
          </mc:Choice>
          <mc:Fallback>
            <w:pict>
              <v:line id="_x0000_s1037" o:spid="_x0000_s1026" o:spt="20" style="position:absolute;left:0pt;margin-left:0pt;margin-top:0pt;height:1pt;width:442pt;z-index:251660288;mso-width-relative:page;mso-height-relative:page;" filled="f" stroked="t" coordsize="21600,21600" o:gfxdata="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mKFYfSAAAAAwEAAA8AAAAAAAAAAQAgAAAAIgAAAGRycy9k&#10;b3ducmV2LnhtbFBLAQIUABQAAAAIAIdO4kAbTntezwEAAKoDAAAOAAAAAAAAAAEAIAAAACEBAABk&#10;cnMvZTJvRG9jLnhtbFBLBQYAAAAABgAGAFkBAABiBQAAAAA=&#10;">
                <v:fill on="f" focussize="0,0"/>
                <v:stroke color="#FF0000" joinstyle="round"/>
                <v:imagedata o:title=""/>
                <o:lock v:ext="edit" aspectratio="f"/>
              </v:line>
            </w:pict>
          </mc:Fallback>
        </mc:AlternateContent>
      </w:r>
      <w:r>
        <w:rPr>
          <w:rFonts w:hint="eastAsia" w:ascii="Times New Roman" w:hAnsi="Times New Roman" w:eastAsia="仿宋_GB2312"/>
          <w:color w:val="000000"/>
          <w:kern w:val="0"/>
          <w:sz w:val="44"/>
          <w:szCs w:val="44"/>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关于开展</w:t>
      </w:r>
      <w:r>
        <w:rPr>
          <w:rFonts w:hint="eastAsia" w:ascii="方正小标宋简体" w:hAnsi="方正小标宋简体" w:eastAsia="方正小标宋简体" w:cs="方正小标宋简体"/>
          <w:b w:val="0"/>
          <w:bCs/>
          <w:sz w:val="44"/>
          <w:szCs w:val="44"/>
        </w:rPr>
        <w:t>聊城市202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喜迎新春</w:t>
      </w:r>
      <w:r>
        <w:rPr>
          <w:rFonts w:hint="eastAsia" w:ascii="方正小标宋简体" w:hAnsi="方正小标宋简体" w:eastAsia="方正小标宋简体" w:cs="方正小标宋简体"/>
          <w:b w:val="0"/>
          <w:bCs/>
          <w:sz w:val="44"/>
          <w:szCs w:val="44"/>
        </w:rPr>
        <w:t>家电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Microsoft YaHei UI" w:eastAsia="方正小标宋简体"/>
          <w:color w:val="000000"/>
          <w:spacing w:val="9"/>
          <w:kern w:val="0"/>
          <w:sz w:val="32"/>
          <w:szCs w:val="32"/>
          <w:lang w:eastAsia="zh-CN"/>
        </w:rPr>
      </w:pPr>
      <w:r>
        <w:rPr>
          <w:rFonts w:hint="eastAsia" w:ascii="方正小标宋简体" w:hAnsi="方正小标宋简体" w:eastAsia="方正小标宋简体" w:cs="方正小标宋简体"/>
          <w:b w:val="0"/>
          <w:bCs/>
          <w:sz w:val="44"/>
          <w:szCs w:val="44"/>
          <w:lang w:eastAsia="zh-CN"/>
        </w:rPr>
        <w:t>促</w:t>
      </w:r>
      <w:r>
        <w:rPr>
          <w:rFonts w:hint="eastAsia" w:ascii="方正小标宋简体" w:hAnsi="方正小标宋简体" w:eastAsia="方正小标宋简体" w:cs="方正小标宋简体"/>
          <w:b w:val="0"/>
          <w:bCs/>
          <w:sz w:val="44"/>
          <w:szCs w:val="44"/>
        </w:rPr>
        <w:t>消费活动</w:t>
      </w:r>
      <w:r>
        <w:rPr>
          <w:rFonts w:hint="eastAsia" w:ascii="方正小标宋简体" w:hAnsi="方正小标宋简体" w:eastAsia="方正小标宋简体" w:cs="方正小标宋简体"/>
          <w:b w:val="0"/>
          <w:bCs/>
          <w:sz w:val="44"/>
          <w:szCs w:val="44"/>
          <w:lang w:eastAsia="zh-CN"/>
        </w:rPr>
        <w:t>的通知</w:t>
      </w:r>
    </w:p>
    <w:p>
      <w:pPr>
        <w:keepNext w:val="0"/>
        <w:keepLines w:val="0"/>
        <w:pageBreakBefore w:val="0"/>
        <w:widowControl/>
        <w:shd w:val="clear" w:color="auto" w:fill="FFFFFF"/>
        <w:kinsoku/>
        <w:wordWrap/>
        <w:overflowPunct/>
        <w:topLinePunct w:val="0"/>
        <w:bidi w:val="0"/>
        <w:spacing w:beforeAutospacing="0" w:afterAutospacing="0" w:line="600" w:lineRule="exact"/>
        <w:rPr>
          <w:rFonts w:hint="eastAsia" w:ascii="仿宋_GB2312" w:hAnsi="Microsoft YaHei UI" w:eastAsia="仿宋_GB2312"/>
          <w:color w:val="000000"/>
          <w:spacing w:val="9"/>
          <w:kern w:val="0"/>
          <w:sz w:val="32"/>
          <w:szCs w:val="32"/>
        </w:rPr>
      </w:pPr>
    </w:p>
    <w:p>
      <w:pPr>
        <w:keepNext w:val="0"/>
        <w:keepLines w:val="0"/>
        <w:pageBreakBefore w:val="0"/>
        <w:widowControl/>
        <w:shd w:val="clear" w:color="auto" w:fill="FFFFFF"/>
        <w:kinsoku/>
        <w:wordWrap/>
        <w:overflowPunct/>
        <w:topLinePunct w:val="0"/>
        <w:bidi w:val="0"/>
        <w:spacing w:beforeAutospacing="0" w:afterAutospacing="0" w:line="600" w:lineRule="exact"/>
        <w:rPr>
          <w:rFonts w:hint="eastAsia" w:ascii="仿宋_GB2312" w:hAnsi="Microsoft YaHei UI" w:eastAsia="仿宋_GB2312"/>
          <w:color w:val="000000"/>
          <w:spacing w:val="9"/>
          <w:kern w:val="0"/>
          <w:sz w:val="32"/>
          <w:szCs w:val="32"/>
        </w:rPr>
      </w:pPr>
      <w:r>
        <w:rPr>
          <w:rFonts w:hint="eastAsia" w:ascii="仿宋_GB2312" w:hAnsi="Microsoft YaHei UI" w:eastAsia="仿宋_GB2312"/>
          <w:color w:val="000000"/>
          <w:spacing w:val="9"/>
          <w:kern w:val="0"/>
          <w:sz w:val="32"/>
          <w:szCs w:val="32"/>
        </w:rPr>
        <w:t>各县（市、区）人民政府、市属开发区管委会</w:t>
      </w:r>
      <w:r>
        <w:rPr>
          <w:rFonts w:ascii="仿宋_GB2312" w:hAnsi="Microsoft YaHei UI" w:eastAsia="仿宋_GB2312"/>
          <w:color w:val="000000"/>
          <w:spacing w:val="9"/>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为持续推动我市家电消费市场</w:t>
      </w:r>
      <w:r>
        <w:rPr>
          <w:rFonts w:hint="eastAsia" w:ascii="仿宋_GB2312" w:hAnsi="仿宋_GB2312" w:eastAsia="仿宋_GB2312" w:cs="仿宋_GB2312"/>
          <w:sz w:val="32"/>
          <w:szCs w:val="32"/>
          <w:lang w:eastAsia="zh-CN"/>
        </w:rPr>
        <w:t>繁荣发展</w:t>
      </w:r>
      <w:r>
        <w:rPr>
          <w:rFonts w:hint="eastAsia" w:ascii="仿宋_GB2312" w:hAnsi="仿宋_GB2312" w:eastAsia="仿宋_GB2312" w:cs="仿宋_GB2312"/>
          <w:sz w:val="32"/>
          <w:szCs w:val="32"/>
        </w:rPr>
        <w:t>，最大限度的惠及百姓，惠及企业，促进经济</w:t>
      </w:r>
      <w:r>
        <w:rPr>
          <w:rFonts w:hint="eastAsia" w:ascii="仿宋_GB2312" w:hAnsi="仿宋_GB2312" w:eastAsia="仿宋_GB2312" w:cs="仿宋_GB2312"/>
          <w:sz w:val="32"/>
          <w:szCs w:val="32"/>
          <w:lang w:eastAsia="zh-CN"/>
        </w:rPr>
        <w:t>稳中向好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活跃节日消费市场，</w:t>
      </w:r>
      <w:r>
        <w:rPr>
          <w:rFonts w:hint="eastAsia" w:ascii="仿宋_GB2312" w:hAnsi="仿宋_GB2312" w:eastAsia="仿宋_GB2312" w:cs="仿宋_GB2312"/>
          <w:sz w:val="32"/>
          <w:szCs w:val="32"/>
        </w:rPr>
        <w:t>决定开展聊城市202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喜迎新春</w:t>
      </w:r>
      <w:r>
        <w:rPr>
          <w:rFonts w:hint="eastAsia" w:ascii="仿宋_GB2312" w:hAnsi="仿宋_GB2312" w:eastAsia="仿宋_GB2312" w:cs="仿宋_GB2312"/>
          <w:sz w:val="32"/>
          <w:szCs w:val="32"/>
        </w:rPr>
        <w:t>家电促消费活动，特制定本方案。</w:t>
      </w:r>
      <w:r>
        <w:rPr>
          <w:rFonts w:hint="eastAsia" w:ascii="仿宋_GB2312" w:hAnsi="仿宋_GB2312" w:eastAsia="仿宋_GB2312" w:cs="仿宋_GB2312"/>
          <w:sz w:val="32"/>
          <w:szCs w:val="32"/>
          <w:lang w:eastAsia="zh-CN"/>
        </w:rPr>
        <w:t>现将方案印发给你们，请认真组织实施。</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聊城市财政局</w:t>
      </w:r>
      <w:r>
        <w:rPr>
          <w:rFonts w:hint="eastAsia" w:ascii="仿宋_GB2312" w:hAnsi="仿宋_GB2312" w:eastAsia="仿宋_GB2312" w:cs="仿宋_GB2312"/>
          <w:sz w:val="32"/>
          <w:szCs w:val="32"/>
          <w:lang w:val="en-US" w:eastAsia="zh-CN"/>
        </w:rPr>
        <w:t xml:space="preserve">                  聊城市商务局</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2024年1月24日</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仿宋_GB2312" w:hAnsi="仿宋_GB2312" w:eastAsia="仿宋_GB2312" w:cs="仿宋_GB2312"/>
          <w:sz w:val="32"/>
          <w:szCs w:val="32"/>
          <w:lang w:eastAsia="zh-CN"/>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聊城市2024年喜迎新春家电</w:t>
      </w:r>
      <w:r>
        <w:rPr>
          <w:rFonts w:hint="eastAsia" w:ascii="方正小标宋简体" w:hAnsi="方正小标宋简体" w:eastAsia="方正小标宋简体" w:cs="方正小标宋简体"/>
          <w:bCs/>
          <w:sz w:val="44"/>
          <w:szCs w:val="44"/>
          <w:lang w:eastAsia="zh-CN"/>
        </w:rPr>
        <w:t>促</w:t>
      </w:r>
      <w:r>
        <w:rPr>
          <w:rFonts w:hint="eastAsia" w:ascii="方正小标宋简体" w:hAnsi="方正小标宋简体" w:eastAsia="方正小标宋简体" w:cs="方正小标宋简体"/>
          <w:bCs/>
          <w:sz w:val="44"/>
          <w:szCs w:val="44"/>
        </w:rPr>
        <w:t>消费</w:t>
      </w:r>
    </w:p>
    <w:p>
      <w:pPr>
        <w:spacing w:line="600" w:lineRule="exact"/>
        <w:jc w:val="center"/>
        <w:rPr>
          <w:rFonts w:hint="eastAsia" w:ascii="黑体" w:hAnsi="黑体" w:eastAsia="方正小标宋简体" w:cs="黑体"/>
          <w:bCs/>
          <w:sz w:val="32"/>
          <w:szCs w:val="32"/>
          <w:lang w:eastAsia="zh-CN"/>
        </w:rPr>
      </w:pPr>
      <w:r>
        <w:rPr>
          <w:rFonts w:hint="eastAsia" w:ascii="方正小标宋简体" w:hAnsi="方正小标宋简体" w:eastAsia="方正小标宋简体" w:cs="方正小标宋简体"/>
          <w:bCs/>
          <w:sz w:val="44"/>
          <w:szCs w:val="44"/>
        </w:rPr>
        <w:t>活动方案</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为推动我市家电消费市场</w:t>
      </w:r>
      <w:r>
        <w:rPr>
          <w:rFonts w:hint="eastAsia" w:ascii="仿宋_GB2312" w:hAnsi="仿宋_GB2312" w:eastAsia="仿宋_GB2312" w:cs="仿宋_GB2312"/>
          <w:sz w:val="32"/>
          <w:szCs w:val="32"/>
          <w:lang w:eastAsia="zh-CN"/>
        </w:rPr>
        <w:t>繁荣发展</w:t>
      </w:r>
      <w:r>
        <w:rPr>
          <w:rFonts w:hint="eastAsia" w:ascii="仿宋_GB2312" w:hAnsi="仿宋_GB2312" w:eastAsia="仿宋_GB2312" w:cs="仿宋_GB2312"/>
          <w:sz w:val="32"/>
          <w:szCs w:val="32"/>
        </w:rPr>
        <w:t>，最大限度的惠及百姓，</w:t>
      </w:r>
      <w:r>
        <w:rPr>
          <w:rFonts w:hint="eastAsia" w:ascii="仿宋_GB2312" w:hAnsi="仿宋_GB2312" w:eastAsia="仿宋_GB2312" w:cs="仿宋_GB2312"/>
          <w:sz w:val="32"/>
          <w:szCs w:val="32"/>
          <w:lang w:eastAsia="zh-CN"/>
        </w:rPr>
        <w:t>活跃节日消费市场，</w:t>
      </w:r>
      <w:r>
        <w:rPr>
          <w:rFonts w:hint="eastAsia" w:ascii="仿宋_GB2312" w:hAnsi="仿宋_GB2312" w:eastAsia="仿宋_GB2312" w:cs="仿宋_GB2312"/>
          <w:sz w:val="32"/>
          <w:szCs w:val="32"/>
        </w:rPr>
        <w:t>决定开展聊城市2024年喜迎新春促进家电消费活动，制定以下方案。</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一、活动内容</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（一）活动时间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2024年1月下旬—2024年2月上旬</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（二）活动预算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本次活动发放消费券共计80万元，其中75万元从省级商贸发展和市场开拓资金支出，另外5万元由中国建设银行聊城分行按照15:1的比例配资。</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（三）参与范围</w:t>
      </w:r>
      <w:bookmarkStart w:id="0" w:name="_GoBack"/>
      <w:bookmarkEnd w:id="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1.消费券投放对象：在聊消费者。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2.参加活动商家范围：企业自愿报名和各县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）、市属开发区</w:t>
      </w:r>
      <w:r>
        <w:rPr>
          <w:rFonts w:hint="eastAsia" w:ascii="仿宋_GB2312" w:hAnsi="仿宋_GB2312" w:eastAsia="仿宋_GB2312" w:cs="仿宋_GB2312"/>
          <w:sz w:val="32"/>
          <w:szCs w:val="32"/>
        </w:rPr>
        <w:t>商务主管部门推荐方式进行，参与企业须为交易地发生在聊城、经营手续齐全、处于正常经营、贡献大、消费者满意度高、无不良信用和交易风险等负面记录，且通过聊城市商务局资料审核、资格审查、公示等程序的家电销售企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3.活动商品范围：在公示的聊城市限额以上家电销售</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销售的商品。</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（四）发放和领取原则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1.先领先得，抢完为止，同一轮同类消费券不能重复申领。 </w:t>
      </w:r>
    </w:p>
    <w:p>
      <w:pPr>
        <w:spacing w:line="600" w:lineRule="exact"/>
        <w:ind w:firstLine="640" w:firstLineChars="200"/>
        <w:rPr>
          <w:rFonts w:ascii="仿宋" w:hAnsi="仿宋" w:eastAsia="仿宋"/>
          <w:color w:val="FF0000"/>
          <w:sz w:val="28"/>
          <w:szCs w:val="28"/>
        </w:rPr>
      </w:pPr>
      <w:r>
        <w:rPr>
          <w:rFonts w:hint="eastAsia" w:ascii="仿宋_GB2312" w:hAnsi="仿宋_GB2312" w:eastAsia="仿宋_GB2312" w:cs="仿宋_GB2312"/>
          <w:sz w:val="32"/>
          <w:szCs w:val="32"/>
        </w:rPr>
        <w:t>2.本次活动财政补贴发完即止，活动结束后未使用部分视情况决定是否延长活动时间。</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二、活动规则</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（一）消费券种类及金额设定</w:t>
      </w:r>
    </w:p>
    <w:p>
      <w:pPr>
        <w:spacing w:line="600" w:lineRule="exact"/>
        <w:ind w:firstLine="640" w:firstLineChars="200"/>
        <w:rPr>
          <w:rFonts w:ascii="仿宋" w:hAnsi="仿宋" w:eastAsia="仿宋"/>
          <w:sz w:val="28"/>
          <w:szCs w:val="28"/>
        </w:rPr>
      </w:pPr>
      <w:r>
        <w:rPr>
          <w:rFonts w:hint="eastAsia" w:ascii="仿宋_GB2312" w:hAnsi="仿宋_GB2312" w:eastAsia="仿宋_GB2312" w:cs="仿宋_GB2312"/>
          <w:sz w:val="32"/>
          <w:szCs w:val="32"/>
        </w:rPr>
        <w:t>消费券面值分为300元、500元、600元三种，单件满2000元补贴300元，单件满5000元补贴500元，单件满8000元补贴600元。</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（二）消费券发放计划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本次消费券计划</w:t>
      </w:r>
      <w:r>
        <w:rPr>
          <w:rFonts w:hint="eastAsia" w:ascii="仿宋_GB2312" w:hAnsi="仿宋_GB2312" w:eastAsia="仿宋_GB2312" w:cs="仿宋_GB2312"/>
          <w:sz w:val="32"/>
          <w:szCs w:val="32"/>
          <w:lang w:eastAsia="zh-CN"/>
        </w:rPr>
        <w:t>一次性</w:t>
      </w:r>
      <w:r>
        <w:rPr>
          <w:rFonts w:hint="eastAsia" w:ascii="仿宋_GB2312" w:hAnsi="仿宋_GB2312" w:eastAsia="仿宋_GB2312" w:cs="仿宋_GB2312"/>
          <w:sz w:val="32"/>
          <w:szCs w:val="32"/>
        </w:rPr>
        <w:t>发放：2024年1月27日10时开始发放，发放消费券资金</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万元，其中发放满8000减600元券</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张，金额</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万元；发放满5000元减500元券</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张，金额</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万元；发放满2000元减300元券</w:t>
      </w:r>
      <w:r>
        <w:rPr>
          <w:rFonts w:hint="eastAsia" w:ascii="仿宋_GB2312" w:hAnsi="仿宋_GB2312" w:eastAsia="仿宋_GB2312" w:cs="仿宋_GB2312"/>
          <w:sz w:val="32"/>
          <w:szCs w:val="32"/>
          <w:lang w:val="en-US" w:eastAsia="zh-CN"/>
        </w:rPr>
        <w:t>1600</w:t>
      </w:r>
      <w:r>
        <w:rPr>
          <w:rFonts w:hint="eastAsia" w:ascii="仿宋_GB2312" w:hAnsi="仿宋_GB2312" w:eastAsia="仿宋_GB2312" w:cs="仿宋_GB2312"/>
          <w:sz w:val="32"/>
          <w:szCs w:val="32"/>
        </w:rPr>
        <w:t>张，金额</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万元。本轮消费券有效期至2024年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日24点（</w:t>
      </w:r>
      <w:r>
        <w:rPr>
          <w:rFonts w:hint="eastAsia" w:ascii="仿宋_GB2312" w:hAnsi="仿宋_GB2312" w:eastAsia="仿宋_GB2312" w:cs="仿宋_GB2312"/>
          <w:sz w:val="32"/>
          <w:szCs w:val="32"/>
          <w:lang w:eastAsia="zh-CN"/>
        </w:rPr>
        <w:t>如有</w:t>
      </w:r>
      <w:r>
        <w:rPr>
          <w:rFonts w:hint="eastAsia" w:ascii="仿宋_GB2312" w:hAnsi="仿宋_GB2312" w:eastAsia="仿宋_GB2312" w:cs="仿宋_GB2312"/>
          <w:sz w:val="32"/>
          <w:szCs w:val="32"/>
        </w:rPr>
        <w:t>剩余资金转入第二轮发放</w:t>
      </w:r>
      <w:r>
        <w:rPr>
          <w:rFonts w:hint="eastAsia" w:ascii="仿宋_GB2312" w:hAnsi="仿宋_GB2312" w:eastAsia="仿宋_GB2312" w:cs="仿宋_GB2312"/>
          <w:sz w:val="32"/>
          <w:szCs w:val="32"/>
          <w:lang w:eastAsia="zh-CN"/>
        </w:rPr>
        <w:t>，时间暂定</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日10时发放，</w:t>
      </w:r>
      <w:r>
        <w:rPr>
          <w:rFonts w:hint="eastAsia" w:ascii="仿宋_GB2312" w:hAnsi="仿宋_GB2312" w:eastAsia="仿宋_GB2312" w:cs="仿宋_GB2312"/>
          <w:sz w:val="32"/>
          <w:szCs w:val="32"/>
          <w:lang w:eastAsia="zh-CN"/>
        </w:rPr>
        <w:t>有效期至</w:t>
      </w:r>
      <w:r>
        <w:rPr>
          <w:rFonts w:hint="eastAsia" w:ascii="仿宋_GB2312" w:hAnsi="仿宋_GB2312" w:eastAsia="仿宋_GB2312" w:cs="仿宋_GB2312"/>
          <w:sz w:val="32"/>
          <w:szCs w:val="32"/>
          <w:lang w:val="en-US" w:eastAsia="zh-CN"/>
        </w:rPr>
        <w:t>2024年2月5日24点；</w:t>
      </w:r>
      <w:r>
        <w:rPr>
          <w:rFonts w:hint="eastAsia" w:ascii="仿宋_GB2312" w:hAnsi="仿宋_GB2312" w:eastAsia="仿宋_GB2312" w:cs="仿宋_GB2312"/>
          <w:sz w:val="32"/>
          <w:szCs w:val="32"/>
        </w:rPr>
        <w:t>第二轮</w:t>
      </w:r>
      <w:r>
        <w:rPr>
          <w:rFonts w:hint="eastAsia" w:ascii="仿宋_GB2312" w:hAnsi="仿宋_GB2312" w:eastAsia="仿宋_GB2312" w:cs="仿宋_GB2312"/>
          <w:sz w:val="32"/>
          <w:szCs w:val="32"/>
          <w:lang w:eastAsia="zh-CN"/>
        </w:rPr>
        <w:t>如有</w:t>
      </w:r>
      <w:r>
        <w:rPr>
          <w:rFonts w:hint="eastAsia" w:ascii="仿宋_GB2312" w:hAnsi="仿宋_GB2312" w:eastAsia="仿宋_GB2312" w:cs="仿宋_GB2312"/>
          <w:sz w:val="32"/>
          <w:szCs w:val="32"/>
        </w:rPr>
        <w:t>剩余资金转入第三轮发放</w:t>
      </w:r>
      <w:r>
        <w:rPr>
          <w:rFonts w:hint="eastAsia" w:ascii="仿宋_GB2312" w:hAnsi="仿宋_GB2312" w:eastAsia="仿宋_GB2312" w:cs="仿宋_GB2312"/>
          <w:sz w:val="32"/>
          <w:szCs w:val="32"/>
          <w:lang w:eastAsia="zh-CN"/>
        </w:rPr>
        <w:t>，时间暂定</w:t>
      </w:r>
      <w:r>
        <w:rPr>
          <w:rFonts w:hint="eastAsia" w:ascii="仿宋_GB2312" w:hAnsi="仿宋_GB2312" w:eastAsia="仿宋_GB2312" w:cs="仿宋_GB2312"/>
          <w:sz w:val="32"/>
          <w:szCs w:val="32"/>
        </w:rPr>
        <w:t>2024年2月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日10时发放，有效期至2024年2月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活动过程中，通过数据分析消费券投放、使用实际效果，灵活调整消费券类型、金额及投放组合方式。</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（三）消费券领取方式</w:t>
      </w:r>
    </w:p>
    <w:p>
      <w:pPr>
        <w:pStyle w:val="6"/>
        <w:spacing w:before="0" w:beforeAutospacing="0" w:after="0" w:afterAutospacing="0" w:line="600" w:lineRule="exact"/>
        <w:ind w:firstLine="640" w:firstLineChars="200"/>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1.抢券平台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“建行生活”APP为本次消费券投放活动抢券平台入口。市民可在各大应用商店下载“建行生活”APP，通过手机号注册登录，进入消费券抢券页面。</w:t>
      </w:r>
    </w:p>
    <w:p>
      <w:pPr>
        <w:pStyle w:val="6"/>
        <w:numPr>
          <w:ilvl w:val="0"/>
          <w:numId w:val="0"/>
        </w:numPr>
        <w:spacing w:before="0" w:beforeAutospacing="0" w:after="0" w:afterAutospacing="0" w:line="600" w:lineRule="exact"/>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rPr>
        <w:t>2.</w:t>
      </w:r>
      <w:r>
        <w:rPr>
          <w:rFonts w:hint="eastAsia" w:ascii="仿宋_GB2312" w:hAnsi="仿宋_GB2312" w:eastAsia="仿宋_GB2312" w:cs="仿宋_GB2312"/>
          <w:b w:val="0"/>
          <w:bCs w:val="0"/>
          <w:kern w:val="2"/>
          <w:sz w:val="32"/>
          <w:szCs w:val="32"/>
        </w:rPr>
        <w:t>抢券方式</w:t>
      </w:r>
    </w:p>
    <w:p>
      <w:pPr>
        <w:pStyle w:val="6"/>
        <w:numPr>
          <w:ilvl w:val="0"/>
          <w:numId w:val="0"/>
        </w:numPr>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在抢券开始后，通过“建行生活”APP，在首页“热门活动”政府消费券投放窗口抢券。抢券成功后，申领人可在“建行生活”APP—“我的”—“票券”中查看消费券。</w:t>
      </w:r>
    </w:p>
    <w:p>
      <w:pPr>
        <w:pStyle w:val="6"/>
        <w:spacing w:before="0" w:beforeAutospacing="0" w:after="0" w:afterAutospacing="0" w:line="600" w:lineRule="exact"/>
        <w:ind w:firstLine="640" w:firstLineChars="200"/>
        <w:jc w:val="both"/>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3.抢券规则</w:t>
      </w:r>
    </w:p>
    <w:p>
      <w:pPr>
        <w:pStyle w:val="6"/>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同一用户每轮可抢每种券额消费券各一张。</w:t>
      </w:r>
    </w:p>
    <w:p>
      <w:pPr>
        <w:pStyle w:val="6"/>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同一用户的认定标准为：符合同一设备、同一注册手机号、同一银行卡预留手机号、同一银行实体卡号、同一身份证号或同一APP账号等任一条件的，用户须使用本人的电子设备、APP账号、银行卡等亲自到店参加本活动。</w:t>
      </w:r>
    </w:p>
    <w:p>
      <w:pPr>
        <w:spacing w:line="600" w:lineRule="exact"/>
        <w:ind w:firstLine="480" w:firstLineChars="150"/>
        <w:rPr>
          <w:rFonts w:ascii="楷体_GB2312" w:hAnsi="楷体_GB2312" w:eastAsia="楷体_GB2312" w:cs="楷体_GB2312"/>
          <w:sz w:val="32"/>
          <w:szCs w:val="32"/>
        </w:rPr>
      </w:pPr>
      <w:r>
        <w:rPr>
          <w:rFonts w:hint="eastAsia" w:ascii="楷体_GB2312" w:hAnsi="楷体_GB2312" w:eastAsia="楷体_GB2312" w:cs="楷体_GB2312"/>
          <w:sz w:val="32"/>
          <w:szCs w:val="32"/>
        </w:rPr>
        <w:t>（四）消费券核销</w:t>
      </w:r>
    </w:p>
    <w:p>
      <w:pPr>
        <w:pStyle w:val="6"/>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1.消费者抢券成功后，到公示的聊城市限额以上家电销售</w:t>
      </w:r>
      <w:r>
        <w:rPr>
          <w:rFonts w:hint="eastAsia" w:ascii="仿宋_GB2312" w:hAnsi="仿宋_GB2312" w:eastAsia="仿宋_GB2312" w:cs="仿宋_GB2312"/>
          <w:kern w:val="2"/>
          <w:sz w:val="32"/>
          <w:szCs w:val="32"/>
          <w:lang w:val="en-US" w:eastAsia="zh-CN"/>
        </w:rPr>
        <w:t>单位</w:t>
      </w:r>
      <w:r>
        <w:rPr>
          <w:rFonts w:hint="eastAsia" w:ascii="仿宋_GB2312" w:hAnsi="仿宋_GB2312" w:eastAsia="仿宋_GB2312" w:cs="仿宋_GB2312"/>
          <w:kern w:val="2"/>
          <w:sz w:val="32"/>
          <w:szCs w:val="32"/>
        </w:rPr>
        <w:t>购买商品时使用“建行生活”APP买单核销，满足消费券使用金额部分，消费券自动生效，抵</w:t>
      </w:r>
      <w:r>
        <w:rPr>
          <w:rFonts w:hint="eastAsia" w:ascii="仿宋_GB2312" w:hAnsi="仿宋_GB2312" w:eastAsia="仿宋_GB2312" w:cs="仿宋_GB2312"/>
          <w:kern w:val="2"/>
          <w:sz w:val="32"/>
          <w:szCs w:val="32"/>
          <w:lang w:val="en-US" w:eastAsia="zh-CN"/>
        </w:rPr>
        <w:t>扣</w:t>
      </w:r>
      <w:r>
        <w:rPr>
          <w:rFonts w:hint="eastAsia" w:ascii="仿宋_GB2312" w:hAnsi="仿宋_GB2312" w:eastAsia="仿宋_GB2312" w:cs="仿宋_GB2312"/>
          <w:kern w:val="2"/>
          <w:sz w:val="32"/>
          <w:szCs w:val="32"/>
        </w:rPr>
        <w:t>相应金额。</w:t>
      </w:r>
    </w:p>
    <w:p>
      <w:pPr>
        <w:pStyle w:val="6"/>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2.消费券可按每单消费金额及用券标准使用对应面额消费券一张。</w:t>
      </w:r>
    </w:p>
    <w:p>
      <w:pPr>
        <w:pStyle w:val="6"/>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本次发放的消费券，在有效期内使用的订单发生全额退款时，可再次使用，退款后的消费券有效期不变；如超出有效期或有效期内拆单退款、部分退款及撤销交易等，视为消费券已使用；消费券不可提现，不可参与违法活动。</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三、活动保障</w:t>
      </w:r>
    </w:p>
    <w:p>
      <w:pPr>
        <w:pStyle w:val="6"/>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_GB2312" w:hAnsi="楷体_GB2312" w:eastAsia="楷体_GB2312" w:cs="楷体_GB2312"/>
          <w:kern w:val="2"/>
          <w:sz w:val="32"/>
          <w:szCs w:val="32"/>
        </w:rPr>
        <w:t>（一）客诉保障：</w:t>
      </w:r>
      <w:r>
        <w:rPr>
          <w:rFonts w:hint="eastAsia" w:ascii="仿宋_GB2312" w:hAnsi="仿宋_GB2312" w:eastAsia="仿宋_GB2312" w:cs="仿宋_GB2312"/>
          <w:kern w:val="2"/>
          <w:sz w:val="32"/>
          <w:szCs w:val="32"/>
        </w:rPr>
        <w:t>中国建设银行提供7*24小时专业客服电话，活动问题可拨打95533进行咨询。</w:t>
      </w:r>
    </w:p>
    <w:p>
      <w:pPr>
        <w:pStyle w:val="6"/>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_GB2312" w:hAnsi="楷体_GB2312" w:eastAsia="楷体_GB2312" w:cs="楷体_GB2312"/>
          <w:kern w:val="2"/>
          <w:sz w:val="32"/>
          <w:szCs w:val="32"/>
        </w:rPr>
        <w:t>（二）人员保障：</w:t>
      </w:r>
      <w:r>
        <w:rPr>
          <w:rFonts w:hint="eastAsia" w:ascii="仿宋_GB2312" w:hAnsi="仿宋_GB2312" w:eastAsia="仿宋_GB2312" w:cs="仿宋_GB2312"/>
          <w:kern w:val="2"/>
          <w:sz w:val="32"/>
          <w:szCs w:val="32"/>
        </w:rPr>
        <w:t>中国建设银行聊城分行安排专门运营队伍，负责在活动期间维护商户受理等问题，保障参与活动商户顺利参加本次活动。</w:t>
      </w:r>
    </w:p>
    <w:p>
      <w:pPr>
        <w:pStyle w:val="6"/>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_GB2312" w:hAnsi="楷体_GB2312" w:eastAsia="楷体_GB2312" w:cs="楷体_GB2312"/>
          <w:kern w:val="2"/>
          <w:sz w:val="32"/>
          <w:szCs w:val="32"/>
        </w:rPr>
        <w:t>（三）数据保障：</w:t>
      </w:r>
      <w:r>
        <w:rPr>
          <w:rFonts w:hint="eastAsia" w:ascii="仿宋_GB2312" w:hAnsi="仿宋_GB2312" w:eastAsia="仿宋_GB2312" w:cs="仿宋_GB2312"/>
          <w:kern w:val="2"/>
          <w:sz w:val="32"/>
          <w:szCs w:val="32"/>
        </w:rPr>
        <w:t>活动结束后中国建设银行聊城分行向聊城市商务局提供脱敏消费券核销数据，并根据聊城市商务局需求对数据进行解释、说明等工作。</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四、活动组织</w:t>
      </w:r>
    </w:p>
    <w:p>
      <w:pPr>
        <w:pStyle w:val="6"/>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_GB2312" w:hAnsi="楷体_GB2312" w:eastAsia="楷体_GB2312" w:cs="楷体_GB2312"/>
          <w:kern w:val="2"/>
          <w:sz w:val="32"/>
          <w:szCs w:val="32"/>
        </w:rPr>
        <w:t>（一）市商务局：</w:t>
      </w:r>
      <w:r>
        <w:rPr>
          <w:rFonts w:hint="eastAsia" w:ascii="仿宋_GB2312" w:hAnsi="仿宋_GB2312" w:eastAsia="仿宋_GB2312" w:cs="仿宋_GB2312"/>
          <w:kern w:val="2"/>
          <w:sz w:val="32"/>
          <w:szCs w:val="32"/>
        </w:rPr>
        <w:t>牵头负责消费券发放组织工作，引导相关企业、商家积极参与相关活动。</w:t>
      </w:r>
    </w:p>
    <w:p>
      <w:pPr>
        <w:pStyle w:val="6"/>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_GB2312" w:hAnsi="楷体_GB2312" w:eastAsia="楷体_GB2312" w:cs="楷体_GB2312"/>
          <w:kern w:val="2"/>
          <w:sz w:val="32"/>
          <w:szCs w:val="32"/>
        </w:rPr>
        <w:t>（二）市财政局：</w:t>
      </w:r>
      <w:r>
        <w:rPr>
          <w:rFonts w:hint="eastAsia" w:ascii="仿宋_GB2312" w:hAnsi="仿宋_GB2312" w:eastAsia="仿宋_GB2312" w:cs="仿宋_GB2312"/>
          <w:kern w:val="2"/>
          <w:sz w:val="32"/>
          <w:szCs w:val="32"/>
        </w:rPr>
        <w:t>负责做好消费券所需资金的筹措，并按规定程序及时拨付资金。</w:t>
      </w:r>
    </w:p>
    <w:p>
      <w:pPr>
        <w:pStyle w:val="6"/>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_GB2312" w:hAnsi="楷体_GB2312" w:eastAsia="楷体_GB2312" w:cs="楷体_GB2312"/>
          <w:kern w:val="2"/>
          <w:sz w:val="32"/>
          <w:szCs w:val="32"/>
        </w:rPr>
        <w:t>（三）中国建设银行聊城分行：</w:t>
      </w:r>
      <w:r>
        <w:rPr>
          <w:rFonts w:hint="eastAsia" w:ascii="仿宋_GB2312" w:hAnsi="仿宋_GB2312" w:eastAsia="仿宋_GB2312" w:cs="仿宋_GB2312"/>
          <w:kern w:val="2"/>
          <w:sz w:val="32"/>
          <w:szCs w:val="32"/>
        </w:rPr>
        <w:t>负责消费券的投放、</w:t>
      </w:r>
      <w:r>
        <w:rPr>
          <w:rFonts w:hint="eastAsia" w:ascii="仿宋_GB2312" w:hAnsi="仿宋_GB2312" w:eastAsia="仿宋_GB2312" w:cs="仿宋_GB2312"/>
          <w:color w:val="000000" w:themeColor="text1"/>
          <w:kern w:val="2"/>
          <w:sz w:val="32"/>
          <w:szCs w:val="32"/>
          <w14:textFill>
            <w14:solidFill>
              <w14:schemeClr w14:val="tx1"/>
            </w14:solidFill>
          </w14:textFill>
        </w:rPr>
        <w:t>在建设银行聊城分行自有渠道的宣传推广等工作，并</w:t>
      </w:r>
      <w:r>
        <w:rPr>
          <w:rFonts w:hint="eastAsia" w:ascii="仿宋_GB2312" w:hAnsi="仿宋_GB2312" w:eastAsia="仿宋_GB2312" w:cs="仿宋_GB2312"/>
          <w:kern w:val="2"/>
          <w:sz w:val="32"/>
          <w:szCs w:val="32"/>
        </w:rPr>
        <w:t>进行全程金融级安全保障，定期出具对账数据。配合消费券发放和使用的咨询及投诉，配合监督管理部门开展相应的监督、绩效评价及审计等工作。</w:t>
      </w:r>
    </w:p>
    <w:p>
      <w:pPr>
        <w:pStyle w:val="6"/>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_GB2312" w:hAnsi="楷体_GB2312" w:eastAsia="楷体_GB2312" w:cs="楷体_GB2312"/>
          <w:kern w:val="2"/>
          <w:sz w:val="32"/>
          <w:szCs w:val="32"/>
        </w:rPr>
        <w:t>（四）各县</w:t>
      </w: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rPr>
        <w:t>市</w:t>
      </w: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rPr>
        <w:t>区</w:t>
      </w:r>
      <w:r>
        <w:rPr>
          <w:rFonts w:hint="eastAsia" w:ascii="楷体_GB2312" w:hAnsi="楷体_GB2312" w:eastAsia="楷体_GB2312" w:cs="楷体_GB2312"/>
          <w:kern w:val="2"/>
          <w:sz w:val="32"/>
          <w:szCs w:val="32"/>
          <w:lang w:eastAsia="zh-CN"/>
        </w:rPr>
        <w:t>）、市属开发区</w:t>
      </w:r>
      <w:r>
        <w:rPr>
          <w:rFonts w:hint="eastAsia" w:ascii="楷体_GB2312" w:hAnsi="楷体_GB2312" w:eastAsia="楷体_GB2312" w:cs="楷体_GB2312"/>
          <w:kern w:val="2"/>
          <w:sz w:val="32"/>
          <w:szCs w:val="32"/>
        </w:rPr>
        <w:t>商务主管部门：</w:t>
      </w:r>
      <w:r>
        <w:rPr>
          <w:rFonts w:hint="eastAsia" w:ascii="仿宋_GB2312" w:hAnsi="仿宋_GB2312" w:eastAsia="仿宋_GB2312" w:cs="仿宋_GB2312"/>
          <w:kern w:val="2"/>
          <w:sz w:val="32"/>
          <w:szCs w:val="32"/>
        </w:rPr>
        <w:t>负责参与商家的资质审核、筛选、提报等工作；应对辖区消费券投诉有关问题。</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五、其他说明</w:t>
      </w:r>
    </w:p>
    <w:p>
      <w:pPr>
        <w:pStyle w:val="6"/>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（一）严禁商户和个人以不正当手段套取消费券利益，禁止将行业消费券用作其他用途。如查实，相关部门将依法追究责任。参与活动即视为理解并同意本活动细则。</w:t>
      </w:r>
    </w:p>
    <w:p>
      <w:pPr>
        <w:pStyle w:val="6"/>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中国建设银行聊城分行从建行平台对优惠核销数据进行系统监控和人工监控，从数据端对违规交易行为进行监控，发现疑似套利商户立即向聊城市商务局进行汇报并停止其营销活动。经核查非黄牛套利后，可重新参与本次活动。</w:t>
      </w:r>
    </w:p>
    <w:p>
      <w:pPr>
        <w:pStyle w:val="6"/>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（三）市民参与抢券后，视同全部接受本次活动的相关规则。</w:t>
      </w:r>
    </w:p>
    <w:p>
      <w:pPr>
        <w:pStyle w:val="6"/>
        <w:spacing w:before="0" w:beforeAutospacing="0" w:after="0" w:afterAutospacing="0" w:line="600" w:lineRule="exact"/>
        <w:ind w:firstLine="640" w:firstLineChars="200"/>
        <w:jc w:val="both"/>
      </w:pPr>
      <w:r>
        <w:rPr>
          <w:rFonts w:hint="eastAsia" w:ascii="仿宋_GB2312" w:hAnsi="仿宋_GB2312" w:eastAsia="仿宋_GB2312" w:cs="仿宋_GB2312"/>
          <w:kern w:val="2"/>
          <w:sz w:val="32"/>
          <w:szCs w:val="32"/>
        </w:rPr>
        <w:t>（四）以上规则仅针对聊城市2024年喜迎新春家电</w:t>
      </w:r>
      <w:r>
        <w:rPr>
          <w:rFonts w:hint="eastAsia" w:ascii="仿宋_GB2312" w:hAnsi="仿宋_GB2312" w:eastAsia="仿宋_GB2312" w:cs="仿宋_GB2312"/>
          <w:kern w:val="2"/>
          <w:sz w:val="32"/>
          <w:szCs w:val="32"/>
          <w:lang w:eastAsia="zh-CN"/>
        </w:rPr>
        <w:t>促</w:t>
      </w:r>
      <w:r>
        <w:rPr>
          <w:rFonts w:hint="eastAsia" w:ascii="仿宋_GB2312" w:hAnsi="仿宋_GB2312" w:eastAsia="仿宋_GB2312" w:cs="仿宋_GB2312"/>
          <w:kern w:val="2"/>
          <w:sz w:val="32"/>
          <w:szCs w:val="32"/>
        </w:rPr>
        <w:t>消费活动。</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asciiTheme="minorEastAsia" w:hAnsiTheme="minorEastAsia" w:eastAsiaTheme="minorEastAsia" w:cstheme="minorEastAsia"/>
                              <w:sz w:val="28"/>
                              <w:szCs w:val="40"/>
                            </w:rPr>
                            <w:t>- 5 -</w:t>
                          </w:r>
                          <w:r>
                            <w:rPr>
                              <w:rFonts w:hint="eastAsia" w:asciiTheme="minorEastAsia" w:hAnsiTheme="minorEastAsia" w:eastAsiaTheme="minorEastAsia" w:cstheme="minorEastAsia"/>
                              <w:sz w:val="28"/>
                              <w:szCs w:val="40"/>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MqFsEBAACN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MqFsEBAACNAwAADgAAAAAAAAABACAAAAAeAQAAZHJzL2Uyb0RvYy54bWxQSwUG&#10;AAAAAAYABgBZAQAAUQUAAAAA&#10;">
              <v:fill on="f" focussize="0,0"/>
              <v:stroke on="f"/>
              <v:imagedata o:title=""/>
              <o:lock v:ext="edit" aspectratio="f"/>
              <v:textbox inset="0mm,0mm,0mm,0mm" style="mso-fit-shape-to-text:t;">
                <w:txbxContent>
                  <w:p>
                    <w:pPr>
                      <w:pStyle w:val="4"/>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asciiTheme="minorEastAsia" w:hAnsiTheme="minorEastAsia" w:eastAsiaTheme="minorEastAsia" w:cstheme="minorEastAsia"/>
                        <w:sz w:val="28"/>
                        <w:szCs w:val="40"/>
                      </w:rPr>
                      <w:t>- 5 -</w:t>
                    </w:r>
                    <w:r>
                      <w:rPr>
                        <w:rFonts w:hint="eastAsia" w:asciiTheme="minorEastAsia" w:hAnsiTheme="minorEastAsia" w:eastAsiaTheme="minorEastAsia" w:cstheme="minorEastAsia"/>
                        <w:sz w:val="28"/>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8A"/>
    <w:rsid w:val="001A748A"/>
    <w:rsid w:val="001C098D"/>
    <w:rsid w:val="00205629"/>
    <w:rsid w:val="00823F63"/>
    <w:rsid w:val="00C473F2"/>
    <w:rsid w:val="00C84957"/>
    <w:rsid w:val="00ED04B5"/>
    <w:rsid w:val="07D655BF"/>
    <w:rsid w:val="0F6DF1BE"/>
    <w:rsid w:val="0FEC6A83"/>
    <w:rsid w:val="1475B217"/>
    <w:rsid w:val="1FE6135E"/>
    <w:rsid w:val="1FED8AED"/>
    <w:rsid w:val="286E74D9"/>
    <w:rsid w:val="2B77BA24"/>
    <w:rsid w:val="2E3E09A3"/>
    <w:rsid w:val="2F7F955C"/>
    <w:rsid w:val="33AE328C"/>
    <w:rsid w:val="37677AC9"/>
    <w:rsid w:val="37BD8EE9"/>
    <w:rsid w:val="39FBB63E"/>
    <w:rsid w:val="3B6FB73A"/>
    <w:rsid w:val="3D1FA68A"/>
    <w:rsid w:val="3ED76D4A"/>
    <w:rsid w:val="4FF7F390"/>
    <w:rsid w:val="56FB948C"/>
    <w:rsid w:val="5AFF127B"/>
    <w:rsid w:val="5BEA3BF8"/>
    <w:rsid w:val="5DABA192"/>
    <w:rsid w:val="5EFAB820"/>
    <w:rsid w:val="5FBB5CA2"/>
    <w:rsid w:val="5FBE4B10"/>
    <w:rsid w:val="63B76900"/>
    <w:rsid w:val="64AB303A"/>
    <w:rsid w:val="65FF6C6B"/>
    <w:rsid w:val="673D0D1F"/>
    <w:rsid w:val="67DE4D2C"/>
    <w:rsid w:val="67F6D469"/>
    <w:rsid w:val="67FF6603"/>
    <w:rsid w:val="6B9F2C8B"/>
    <w:rsid w:val="6DE63DE5"/>
    <w:rsid w:val="71D5D0DE"/>
    <w:rsid w:val="733B617E"/>
    <w:rsid w:val="7475A551"/>
    <w:rsid w:val="75FE4204"/>
    <w:rsid w:val="76C76333"/>
    <w:rsid w:val="77DFBAC7"/>
    <w:rsid w:val="77FC1C54"/>
    <w:rsid w:val="77FF2CC2"/>
    <w:rsid w:val="79AB43D2"/>
    <w:rsid w:val="79FDB059"/>
    <w:rsid w:val="7A7F897A"/>
    <w:rsid w:val="7AAFA80A"/>
    <w:rsid w:val="7AFF0DF1"/>
    <w:rsid w:val="7B1F986E"/>
    <w:rsid w:val="7B579D6F"/>
    <w:rsid w:val="7BCE1A79"/>
    <w:rsid w:val="7C733EA2"/>
    <w:rsid w:val="7D37E699"/>
    <w:rsid w:val="7DDFD9F6"/>
    <w:rsid w:val="7DFF8CBE"/>
    <w:rsid w:val="7DFF9DD9"/>
    <w:rsid w:val="7E7F5F2F"/>
    <w:rsid w:val="7EDF9BB8"/>
    <w:rsid w:val="7EFF65FC"/>
    <w:rsid w:val="7F3733FE"/>
    <w:rsid w:val="7F777243"/>
    <w:rsid w:val="7F9E950C"/>
    <w:rsid w:val="7FB504A9"/>
    <w:rsid w:val="7FBF7027"/>
    <w:rsid w:val="7FDD80CA"/>
    <w:rsid w:val="7FDF72EB"/>
    <w:rsid w:val="7FF861C0"/>
    <w:rsid w:val="7FFC87DE"/>
    <w:rsid w:val="7FFE738F"/>
    <w:rsid w:val="82BC132E"/>
    <w:rsid w:val="9DB938E8"/>
    <w:rsid w:val="9F4B4628"/>
    <w:rsid w:val="A3BFC943"/>
    <w:rsid w:val="A3E75F9C"/>
    <w:rsid w:val="AC9D56D9"/>
    <w:rsid w:val="AEDF2DE0"/>
    <w:rsid w:val="AF45F4E2"/>
    <w:rsid w:val="B3F0B04D"/>
    <w:rsid w:val="B671334F"/>
    <w:rsid w:val="BB1E39B9"/>
    <w:rsid w:val="BDF1A4E3"/>
    <w:rsid w:val="BDFD3267"/>
    <w:rsid w:val="BDFDD8E8"/>
    <w:rsid w:val="BEFF8662"/>
    <w:rsid w:val="BF9FF99E"/>
    <w:rsid w:val="BFBD68A1"/>
    <w:rsid w:val="BFC7F1AB"/>
    <w:rsid w:val="BFEB890C"/>
    <w:rsid w:val="BFFA3217"/>
    <w:rsid w:val="BFFF4023"/>
    <w:rsid w:val="BFFF9915"/>
    <w:rsid w:val="CDBF7AE3"/>
    <w:rsid w:val="CE7F3745"/>
    <w:rsid w:val="CFF77E02"/>
    <w:rsid w:val="D4679823"/>
    <w:rsid w:val="D6C9B382"/>
    <w:rsid w:val="D787B010"/>
    <w:rsid w:val="D7AF9BE7"/>
    <w:rsid w:val="DA55B477"/>
    <w:rsid w:val="DCC96849"/>
    <w:rsid w:val="DF6F2049"/>
    <w:rsid w:val="DFB7FD5F"/>
    <w:rsid w:val="DFE70DA7"/>
    <w:rsid w:val="DFEFE1F2"/>
    <w:rsid w:val="E75D0227"/>
    <w:rsid w:val="EF5FE19D"/>
    <w:rsid w:val="EFBFA338"/>
    <w:rsid w:val="EFFFD975"/>
    <w:rsid w:val="F1FFDEE5"/>
    <w:rsid w:val="F36F9FE9"/>
    <w:rsid w:val="F37DB8CE"/>
    <w:rsid w:val="F56D1D85"/>
    <w:rsid w:val="F75F2A99"/>
    <w:rsid w:val="F77700A4"/>
    <w:rsid w:val="F7B7042F"/>
    <w:rsid w:val="F7F4A5EB"/>
    <w:rsid w:val="FAF3F6AF"/>
    <w:rsid w:val="FAFE1F57"/>
    <w:rsid w:val="FB7B163C"/>
    <w:rsid w:val="FBA9D439"/>
    <w:rsid w:val="FBBF4DCE"/>
    <w:rsid w:val="FBEF6FB9"/>
    <w:rsid w:val="FCFDC00D"/>
    <w:rsid w:val="FDCFBA90"/>
    <w:rsid w:val="FDED1AE7"/>
    <w:rsid w:val="FDFDCD25"/>
    <w:rsid w:val="FE55C0C2"/>
    <w:rsid w:val="FE7F31D7"/>
    <w:rsid w:val="FEBF3849"/>
    <w:rsid w:val="FEE78B28"/>
    <w:rsid w:val="FEFB08A5"/>
    <w:rsid w:val="FEFB66F8"/>
    <w:rsid w:val="FEFDD1BF"/>
    <w:rsid w:val="FEFF7CD9"/>
    <w:rsid w:val="FF194B47"/>
    <w:rsid w:val="FF7F0280"/>
    <w:rsid w:val="FFB3EB90"/>
    <w:rsid w:val="FFBB2155"/>
    <w:rsid w:val="FFD77957"/>
    <w:rsid w:val="FFEE06CC"/>
    <w:rsid w:val="FFF70B65"/>
    <w:rsid w:val="FFFB488D"/>
    <w:rsid w:val="FFFFC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szCs w:val="24"/>
    </w:rPr>
  </w:style>
  <w:style w:type="character" w:customStyle="1" w:styleId="9">
    <w:name w:val="默认段落字体1"/>
    <w:semiHidden/>
    <w:qFormat/>
    <w:uiPriority w:val="0"/>
  </w:style>
  <w:style w:type="table" w:customStyle="1" w:styleId="10">
    <w:name w:val="普通表格1"/>
    <w:semiHidden/>
    <w:qFormat/>
    <w:uiPriority w:val="0"/>
    <w:tblPr>
      <w:tblCellMar>
        <w:top w:w="0" w:type="dxa"/>
        <w:left w:w="0" w:type="dxa"/>
        <w:bottom w:w="0" w:type="dxa"/>
        <w:right w:w="0" w:type="dxa"/>
      </w:tblCellMar>
    </w:tblPr>
  </w:style>
  <w:style w:type="paragraph" w:customStyle="1" w:styleId="11">
    <w:name w:val="目录 11"/>
    <w:basedOn w:val="1"/>
    <w:qFormat/>
    <w:uiPriority w:val="0"/>
  </w:style>
  <w:style w:type="paragraph" w:customStyle="1" w:styleId="12">
    <w:name w:val="页脚1"/>
    <w:basedOn w:val="1"/>
    <w:qFormat/>
    <w:uiPriority w:val="0"/>
    <w:pPr>
      <w:tabs>
        <w:tab w:val="center" w:pos="4153"/>
        <w:tab w:val="right" w:pos="8306"/>
      </w:tabs>
      <w:snapToGrid w:val="0"/>
      <w:jc w:val="left"/>
    </w:pPr>
    <w:rPr>
      <w:sz w:val="18"/>
    </w:rPr>
  </w:style>
  <w:style w:type="paragraph" w:customStyle="1" w:styleId="13">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character" w:customStyle="1" w:styleId="14">
    <w:name w:val="超链接1"/>
    <w:basedOn w:val="9"/>
    <w:qFormat/>
    <w:uiPriority w:val="0"/>
    <w:rPr>
      <w:color w:val="0000FF"/>
    </w:rPr>
  </w:style>
  <w:style w:type="paragraph" w:customStyle="1" w:styleId="15">
    <w:name w:val="Default"/>
    <w:basedOn w:val="1"/>
    <w:qFormat/>
    <w:uiPriority w:val="0"/>
    <w:pPr>
      <w:autoSpaceDE w:val="0"/>
      <w:autoSpaceDN w:val="0"/>
      <w:jc w:val="left"/>
    </w:pPr>
    <w:rPr>
      <w:rFonts w:ascii="方正小标宋简体" w:hAnsi="方正小标宋简体"/>
      <w:color w:val="000000"/>
      <w:kern w:val="0"/>
      <w:sz w:val="24"/>
      <w:szCs w:val="24"/>
    </w:rPr>
  </w:style>
  <w:style w:type="character" w:customStyle="1" w:styleId="16">
    <w:name w:val="fontstyle21"/>
    <w:qFormat/>
    <w:uiPriority w:val="0"/>
    <w:rPr>
      <w:rFonts w:ascii="??_GB2312" w:eastAsia="Times New Roman"/>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338</Words>
  <Characters>1932</Characters>
  <Lines>16</Lines>
  <Paragraphs>4</Paragraphs>
  <TotalTime>15</TotalTime>
  <ScaleCrop>false</ScaleCrop>
  <LinksUpToDate>false</LinksUpToDate>
  <CharactersWithSpaces>2266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2023-03-29T09:34:00Z</dcterms:created>
  <dc:creator>user</dc:creator>
  <cp:lastModifiedBy>郑锋</cp:lastModifiedBy>
  <cp:lastPrinted>2024-01-24T23:34:00Z</cp:lastPrinted>
  <dcterms:modified xsi:type="dcterms:W3CDTF">2024-01-25T02:51:11Z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62B6CA1C951E4108874972EAF415B098</vt:lpwstr>
  </property>
</Properties>
</file>