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B" w:rsidRDefault="008F0F34">
      <w:pPr>
        <w:rPr>
          <w:rFonts w:ascii="仿宋" w:eastAsia="仿宋" w:hAnsi="仿宋"/>
          <w:sz w:val="32"/>
          <w:szCs w:val="32"/>
        </w:rPr>
      </w:pPr>
      <w:r>
        <w:rPr>
          <w:rFonts w:ascii="仿宋" w:eastAsia="仿宋" w:hAnsi="仿宋" w:hint="eastAsia"/>
          <w:noProof/>
          <w:sz w:val="32"/>
          <w:szCs w:val="32"/>
        </w:rPr>
        <mc:AlternateContent>
          <mc:Choice Requires="wps">
            <w:drawing>
              <wp:anchor distT="0" distB="0" distL="0" distR="0" simplePos="0" relativeHeight="251656704" behindDoc="0" locked="0" layoutInCell="1" allowOverlap="1">
                <wp:simplePos x="0" y="0"/>
                <wp:positionH relativeFrom="column">
                  <wp:posOffset>152400</wp:posOffset>
                </wp:positionH>
                <wp:positionV relativeFrom="paragraph">
                  <wp:posOffset>355600</wp:posOffset>
                </wp:positionV>
                <wp:extent cx="4343400" cy="1130300"/>
                <wp:effectExtent l="0" t="0" r="0" b="12700"/>
                <wp:wrapNone/>
                <wp:docPr id="2" name="_x0000_s1035"/>
                <wp:cNvGraphicFramePr/>
                <a:graphic xmlns:a="http://schemas.openxmlformats.org/drawingml/2006/main">
                  <a:graphicData uri="http://schemas.microsoft.com/office/word/2010/wordprocessingShape">
                    <wps:wsp>
                      <wps:cNvSpPr/>
                      <wps:spPr>
                        <a:xfrm>
                          <a:off x="0" y="0"/>
                          <a:ext cx="4343400" cy="1130300"/>
                        </a:xfrm>
                        <a:prstGeom prst="rect">
                          <a:avLst/>
                        </a:prstGeom>
                        <a:solidFill>
                          <a:srgbClr val="FFFFFF"/>
                        </a:solidFill>
                      </wps:spPr>
                      <wps:txbx>
                        <w:txbxContent>
                          <w:p w:rsidR="00432F5B" w:rsidRDefault="008F0F34">
                            <w:pPr>
                              <w:pStyle w:val="Default"/>
                              <w:spacing w:line="900" w:lineRule="exact"/>
                              <w:jc w:val="distribute"/>
                              <w:rPr>
                                <w:rFonts w:eastAsia="方正小标宋简体" w:hAnsi="仿宋"/>
                                <w:bCs/>
                                <w:color w:val="FF0000"/>
                                <w:w w:val="80"/>
                                <w:sz w:val="72"/>
                                <w:szCs w:val="72"/>
                              </w:rPr>
                            </w:pPr>
                            <w:r>
                              <w:rPr>
                                <w:rFonts w:eastAsia="方正小标宋简体" w:hAnsi="仿宋" w:hint="eastAsia"/>
                                <w:bCs/>
                                <w:color w:val="FF0000"/>
                                <w:w w:val="80"/>
                                <w:sz w:val="72"/>
                                <w:szCs w:val="72"/>
                              </w:rPr>
                              <w:t>聊城</w:t>
                            </w:r>
                            <w:r>
                              <w:rPr>
                                <w:rFonts w:eastAsia="方正小标宋简体" w:hAnsi="仿宋" w:hint="eastAsia"/>
                                <w:bCs/>
                                <w:color w:val="FF0000"/>
                                <w:w w:val="80"/>
                                <w:sz w:val="72"/>
                                <w:szCs w:val="72"/>
                              </w:rPr>
                              <w:t>市商务局</w:t>
                            </w:r>
                          </w:p>
                          <w:p w:rsidR="00432F5B" w:rsidRDefault="008F0F34">
                            <w:pPr>
                              <w:pStyle w:val="Default"/>
                              <w:spacing w:line="900" w:lineRule="exact"/>
                              <w:jc w:val="distribute"/>
                              <w:rPr>
                                <w:rFonts w:eastAsia="方正小标宋简体" w:hAnsi="仿宋"/>
                                <w:bCs/>
                                <w:color w:val="FF0000"/>
                                <w:w w:val="80"/>
                                <w:sz w:val="72"/>
                                <w:szCs w:val="72"/>
                              </w:rPr>
                            </w:pPr>
                            <w:r>
                              <w:rPr>
                                <w:rFonts w:eastAsia="方正小标宋简体" w:hAnsi="仿宋" w:hint="eastAsia"/>
                                <w:bCs/>
                                <w:color w:val="FF0000"/>
                                <w:w w:val="80"/>
                                <w:sz w:val="72"/>
                                <w:szCs w:val="72"/>
                              </w:rPr>
                              <w:t>聊城</w:t>
                            </w:r>
                            <w:r>
                              <w:rPr>
                                <w:rFonts w:eastAsia="方正小标宋简体" w:hAnsi="仿宋" w:hint="eastAsia"/>
                                <w:bCs/>
                                <w:color w:val="FF0000"/>
                                <w:w w:val="80"/>
                                <w:sz w:val="72"/>
                                <w:szCs w:val="72"/>
                              </w:rPr>
                              <w:t>市财政局</w:t>
                            </w:r>
                          </w:p>
                          <w:p w:rsidR="00432F5B" w:rsidRDefault="00432F5B"/>
                        </w:txbxContent>
                      </wps:txbx>
                      <wps:bodyPr rot="0" vert="horz" wrap="square" lIns="0" tIns="0" rIns="0" bIns="0" anchor="t" anchorCtr="0"/>
                    </wps:wsp>
                  </a:graphicData>
                </a:graphic>
              </wp:anchor>
            </w:drawing>
          </mc:Choice>
          <mc:Fallback xmlns:wpsCustomData="http://www.wps.cn/officeDocument/2013/wpsCustomData" xmlns:w15="http://schemas.microsoft.com/office/word/2012/wordml">
            <w:pict>
              <v:rect id="_x0000_s1035" o:spid="_x0000_s1026" o:spt="1" style="position:absolute;left:0pt;margin-left:12pt;margin-top:28pt;height:89pt;width:342pt;z-index:251660288;mso-width-relative:page;mso-height-relative:page;" fillcolor="#FFFFFF" filled="t" stroked="f" coordsize="21600,21600" o:gfxdata="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EDthF3UAAAACQEAAA8AAAAAAAAAAQAgAAAAOAAAAGRycy9kb3ducmV2&#10;LnhtbFBLAQIUABQAAAAIAIdO4kCz17kasQEAAGADAAAOAAAAAAAAAAEAIAAAADkBAABkcnMvZTJv&#10;RG9jLnhtbFBLBQYAAAAABgAGAFkBAABcBQAAAAA=&#10;">
                <v:fill on="t" focussize="0,0"/>
                <v:stroke on="f"/>
                <v:imagedata o:title=""/>
                <o:lock v:ext="edit" aspectratio="f"/>
                <v:textbox inset="0mm,0mm,0mm,0mm">
                  <w:txbxContent>
                    <w:p>
                      <w:pPr>
                        <w:pStyle w:val="22"/>
                        <w:spacing w:beforeAutospacing="0" w:afterAutospacing="0" w:line="900" w:lineRule="exact"/>
                        <w:jc w:val="distribute"/>
                        <w:rPr>
                          <w:rFonts w:hint="eastAsia" w:hAnsi="仿宋" w:eastAsia="方正小标宋简体"/>
                          <w:bCs/>
                          <w:color w:val="FF0000"/>
                          <w:w w:val="80"/>
                          <w:sz w:val="72"/>
                          <w:szCs w:val="72"/>
                          <w:lang w:eastAsia="zh-CN"/>
                        </w:rPr>
                      </w:pPr>
                      <w:r>
                        <w:rPr>
                          <w:rFonts w:hint="eastAsia" w:hAnsi="仿宋" w:eastAsia="方正小标宋简体"/>
                          <w:bCs/>
                          <w:color w:val="FF0000"/>
                          <w:w w:val="80"/>
                          <w:sz w:val="72"/>
                          <w:szCs w:val="72"/>
                          <w:lang w:eastAsia="zh-CN"/>
                        </w:rPr>
                        <w:t>聊城</w:t>
                      </w:r>
                      <w:r>
                        <w:rPr>
                          <w:rFonts w:hint="eastAsia" w:hAnsi="仿宋" w:eastAsia="方正小标宋简体"/>
                          <w:bCs/>
                          <w:color w:val="FF0000"/>
                          <w:w w:val="80"/>
                          <w:sz w:val="72"/>
                          <w:szCs w:val="72"/>
                        </w:rPr>
                        <w:t>市商务局</w:t>
                      </w:r>
                    </w:p>
                    <w:p>
                      <w:pPr>
                        <w:pStyle w:val="22"/>
                        <w:spacing w:beforeAutospacing="0" w:afterAutospacing="0" w:line="900" w:lineRule="exact"/>
                        <w:jc w:val="distribute"/>
                        <w:rPr>
                          <w:rFonts w:hint="eastAsia" w:hAnsi="仿宋" w:eastAsia="方正小标宋简体"/>
                          <w:bCs/>
                          <w:color w:val="FF0000"/>
                          <w:w w:val="80"/>
                          <w:sz w:val="72"/>
                          <w:szCs w:val="72"/>
                          <w:lang w:eastAsia="zh-CN"/>
                        </w:rPr>
                      </w:pPr>
                      <w:r>
                        <w:rPr>
                          <w:rFonts w:hint="eastAsia" w:hAnsi="仿宋" w:eastAsia="方正小标宋简体"/>
                          <w:bCs/>
                          <w:color w:val="FF0000"/>
                          <w:w w:val="80"/>
                          <w:sz w:val="72"/>
                          <w:szCs w:val="72"/>
                          <w:lang w:eastAsia="zh-CN"/>
                        </w:rPr>
                        <w:t>聊城</w:t>
                      </w:r>
                      <w:r>
                        <w:rPr>
                          <w:rFonts w:hint="eastAsia" w:hAnsi="仿宋" w:eastAsia="方正小标宋简体"/>
                          <w:bCs/>
                          <w:color w:val="FF0000"/>
                          <w:w w:val="80"/>
                          <w:sz w:val="72"/>
                          <w:szCs w:val="72"/>
                        </w:rPr>
                        <w:t>市财政局</w:t>
                      </w:r>
                    </w:p>
                    <w:p/>
                  </w:txbxContent>
                </v:textbox>
              </v:rect>
            </w:pict>
          </mc:Fallback>
        </mc:AlternateContent>
      </w:r>
    </w:p>
    <w:p w:rsidR="00432F5B" w:rsidRDefault="008F0F34">
      <w:pPr>
        <w:jc w:val="center"/>
        <w:rPr>
          <w:rFonts w:ascii="仿宋" w:eastAsia="仿宋" w:hAnsi="仿宋"/>
          <w:sz w:val="32"/>
          <w:szCs w:val="32"/>
        </w:rPr>
      </w:pPr>
      <w:r>
        <w:rPr>
          <w:rFonts w:ascii="仿宋" w:eastAsia="仿宋" w:hAnsi="仿宋" w:hint="eastAsia"/>
          <w:noProof/>
          <w:sz w:val="32"/>
          <w:szCs w:val="32"/>
        </w:rPr>
        <mc:AlternateContent>
          <mc:Choice Requires="wps">
            <w:drawing>
              <wp:anchor distT="0" distB="0" distL="0" distR="0" simplePos="0" relativeHeight="251657728" behindDoc="0" locked="0" layoutInCell="1" allowOverlap="1">
                <wp:simplePos x="0" y="0"/>
                <wp:positionH relativeFrom="column">
                  <wp:posOffset>4558665</wp:posOffset>
                </wp:positionH>
                <wp:positionV relativeFrom="paragraph">
                  <wp:posOffset>139065</wp:posOffset>
                </wp:positionV>
                <wp:extent cx="1028700" cy="787400"/>
                <wp:effectExtent l="0" t="0" r="0" b="12700"/>
                <wp:wrapNone/>
                <wp:docPr id="3" name="_x0000_s1036"/>
                <wp:cNvGraphicFramePr/>
                <a:graphic xmlns:a="http://schemas.openxmlformats.org/drawingml/2006/main">
                  <a:graphicData uri="http://schemas.microsoft.com/office/word/2010/wordprocessingShape">
                    <wps:wsp>
                      <wps:cNvSpPr/>
                      <wps:spPr>
                        <a:xfrm>
                          <a:off x="0" y="0"/>
                          <a:ext cx="1028700" cy="787400"/>
                        </a:xfrm>
                        <a:prstGeom prst="rect">
                          <a:avLst/>
                        </a:prstGeom>
                        <a:solidFill>
                          <a:prstClr val="white"/>
                        </a:solidFill>
                      </wps:spPr>
                      <wps:txbx>
                        <w:txbxContent>
                          <w:p w:rsidR="00432F5B" w:rsidRDefault="008F0F34">
                            <w:pPr>
                              <w:spacing w:line="1180" w:lineRule="exact"/>
                              <w:rPr>
                                <w:rFonts w:ascii="方正小标宋简体" w:eastAsia="方正小标宋简体"/>
                                <w:color w:val="FF0000"/>
                                <w:w w:val="66"/>
                                <w:sz w:val="108"/>
                                <w:szCs w:val="108"/>
                              </w:rPr>
                            </w:pPr>
                            <w:r>
                              <w:rPr>
                                <w:rFonts w:ascii="方正小标宋简体" w:eastAsia="方正小标宋简体" w:hint="eastAsia"/>
                                <w:color w:val="FF0000"/>
                                <w:w w:val="66"/>
                                <w:sz w:val="108"/>
                                <w:szCs w:val="108"/>
                              </w:rPr>
                              <w:t>文件</w:t>
                            </w:r>
                          </w:p>
                          <w:p w:rsidR="00432F5B" w:rsidRDefault="00432F5B"/>
                        </w:txbxContent>
                      </wps:txbx>
                      <wps:bodyPr rot="0" vert="horz" wrap="square" lIns="0" tIns="0" rIns="0" bIns="0" anchor="t" anchorCtr="0"/>
                    </wps:wsp>
                  </a:graphicData>
                </a:graphic>
              </wp:anchor>
            </w:drawing>
          </mc:Choice>
          <mc:Fallback xmlns:wpsCustomData="http://www.wps.cn/officeDocument/2013/wpsCustomData" xmlns:w15="http://schemas.microsoft.com/office/word/2012/wordml">
            <w:pict>
              <v:rect id="_x0000_s1036" o:spid="_x0000_s1026" o:spt="1" style="position:absolute;left:0pt;margin-left:358.95pt;margin-top:10.95pt;height:62pt;width:81pt;z-index:251660288;mso-width-relative:page;mso-height-relative:page;" fillcolor="#FFFFFF" filled="t" stroked="f" coordsize="21600,21600" o:gfxdata="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TcEFY1gAAAAoBAAAPAAAAAAAAAAEAIAAAADgAAABkcnMvZG93&#10;bnJldi54bWxQSwECFAAUAAAACACHTuJAxGA0FrMBAABeAwAADgAAAAAAAAABACAAAAA7AQAAZHJz&#10;L2Uyb0RvYy54bWxQSwUGAAAAAAYABgBZAQAAYAUAAAAA&#10;">
                <v:fill on="t" focussize="0,0"/>
                <v:stroke on="f"/>
                <v:imagedata o:title=""/>
                <o:lock v:ext="edit" aspectratio="f"/>
                <v:textbox inset="0mm,0mm,0mm,0mm">
                  <w:txbxContent>
                    <w:p>
                      <w:pPr>
                        <w:spacing w:beforeAutospacing="0" w:afterAutospacing="0" w:line="1180" w:lineRule="exact"/>
                        <w:rPr>
                          <w:rFonts w:hint="eastAsia" w:ascii="方正小标宋简体" w:eastAsia="方正小标宋简体"/>
                          <w:color w:val="FF0000"/>
                          <w:w w:val="66"/>
                          <w:sz w:val="108"/>
                          <w:szCs w:val="108"/>
                        </w:rPr>
                      </w:pPr>
                      <w:r>
                        <w:rPr>
                          <w:rFonts w:hint="eastAsia" w:ascii="方正小标宋简体" w:eastAsia="方正小标宋简体"/>
                          <w:color w:val="FF0000"/>
                          <w:w w:val="66"/>
                          <w:sz w:val="108"/>
                          <w:szCs w:val="108"/>
                        </w:rPr>
                        <w:t>文件</w:t>
                      </w:r>
                    </w:p>
                    <w:p/>
                  </w:txbxContent>
                </v:textbox>
              </v:rect>
            </w:pict>
          </mc:Fallback>
        </mc:AlternateContent>
      </w:r>
    </w:p>
    <w:p w:rsidR="00432F5B" w:rsidRDefault="00432F5B">
      <w:pPr>
        <w:jc w:val="center"/>
        <w:rPr>
          <w:rFonts w:ascii="仿宋" w:eastAsia="仿宋" w:hAnsi="仿宋"/>
          <w:sz w:val="32"/>
          <w:szCs w:val="32"/>
        </w:rPr>
      </w:pPr>
    </w:p>
    <w:p w:rsidR="00432F5B" w:rsidRDefault="00432F5B">
      <w:pPr>
        <w:rPr>
          <w:rFonts w:ascii="仿宋_GB2312" w:eastAsia="仿宋_GB2312" w:hAnsi="仿宋"/>
          <w:sz w:val="32"/>
          <w:szCs w:val="32"/>
        </w:rPr>
      </w:pPr>
    </w:p>
    <w:p w:rsidR="00432F5B" w:rsidRDefault="008F0F34">
      <w:pPr>
        <w:jc w:val="center"/>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聊</w:t>
      </w:r>
      <w:r>
        <w:rPr>
          <w:rFonts w:ascii="仿宋_GB2312" w:eastAsia="仿宋_GB2312" w:hAnsi="仿宋_GB2312" w:hint="eastAsia"/>
          <w:color w:val="000000"/>
          <w:kern w:val="0"/>
          <w:sz w:val="32"/>
          <w:szCs w:val="32"/>
        </w:rPr>
        <w:t>商</w:t>
      </w:r>
      <w:r>
        <w:rPr>
          <w:rFonts w:ascii="仿宋_GB2312" w:eastAsia="仿宋_GB2312" w:hAnsi="仿宋_GB2312" w:hint="eastAsia"/>
          <w:color w:val="000000"/>
          <w:kern w:val="0"/>
          <w:sz w:val="32"/>
          <w:szCs w:val="32"/>
        </w:rPr>
        <w:t>务</w:t>
      </w:r>
      <w:r>
        <w:rPr>
          <w:rFonts w:ascii="仿宋_GB2312" w:eastAsia="仿宋_GB2312" w:hAnsi="仿宋_GB2312" w:hint="eastAsia"/>
          <w:color w:val="000000"/>
          <w:kern w:val="0"/>
          <w:sz w:val="32"/>
          <w:szCs w:val="32"/>
        </w:rPr>
        <w:t>字</w:t>
      </w:r>
      <w:r>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2024</w:t>
      </w:r>
      <w:r>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10</w:t>
      </w:r>
      <w:r>
        <w:rPr>
          <w:rFonts w:ascii="仿宋_GB2312" w:eastAsia="仿宋_GB2312" w:hAnsi="仿宋_GB2312" w:hint="eastAsia"/>
          <w:color w:val="000000"/>
          <w:kern w:val="0"/>
          <w:sz w:val="32"/>
          <w:szCs w:val="32"/>
        </w:rPr>
        <w:t>号</w:t>
      </w:r>
    </w:p>
    <w:p w:rsidR="00432F5B" w:rsidRDefault="008F0F34">
      <w:pPr>
        <w:rPr>
          <w:rFonts w:ascii="Times New Roman" w:eastAsia="仿宋_GB2312" w:hAnsi="Times New Roman"/>
          <w:color w:val="000000"/>
          <w:kern w:val="0"/>
          <w:sz w:val="44"/>
          <w:szCs w:val="44"/>
        </w:rPr>
      </w:pPr>
      <w:r>
        <w:rPr>
          <w:rFonts w:ascii="Times New Roman" w:eastAsia="仿宋_GB2312" w:hAnsi="Times New Roman" w:hint="eastAsia"/>
          <w:noProof/>
          <w:color w:val="000000"/>
          <w:kern w:val="0"/>
          <w:sz w:val="44"/>
          <w:szCs w:val="44"/>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5613400" cy="12700"/>
                <wp:effectExtent l="0" t="4445" r="6350" b="11430"/>
                <wp:wrapNone/>
                <wp:docPr id="4" name="_x0000_s1037"/>
                <wp:cNvGraphicFramePr/>
                <a:graphic xmlns:a="http://schemas.openxmlformats.org/drawingml/2006/main">
                  <a:graphicData uri="http://schemas.microsoft.com/office/word/2010/wordprocessingShape">
                    <wps:wsp>
                      <wps:cNvCnPr/>
                      <wps:spPr>
                        <a:xfrm>
                          <a:off x="0" y="0"/>
                          <a:ext cx="5613400" cy="12700"/>
                        </a:xfrm>
                        <a:prstGeom prst="line">
                          <a:avLst/>
                        </a:prstGeom>
                        <a:ln>
                          <a:solidFill>
                            <a:srgbClr val="FF0000"/>
                          </a:solidFill>
                        </a:ln>
                      </wps:spPr>
                      <wps:bodyPr/>
                    </wps:wsp>
                  </a:graphicData>
                </a:graphic>
              </wp:anchor>
            </w:drawing>
          </mc:Choice>
          <mc:Fallback xmlns:wpsCustomData="http://www.wps.cn/officeDocument/2013/wpsCustomData" xmlns:w15="http://schemas.microsoft.com/office/word/2012/wordml">
            <w:pict>
              <v:line id="_x0000_s1037" o:spid="_x0000_s1026" o:spt="20" style="position:absolute;left:0pt;margin-left:0pt;margin-top:0pt;height:1pt;width:442pt;z-index:251660288;mso-width-relative:page;mso-height-relative:page;" filled="f" stroked="t" coordsize="21600,21600" o:gfxdata="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ZihWH0gAAAAMBAAAPAAAAAAAAAAEAIAAAADgAAABkcnMvZG93&#10;bnJldi54bWxQSwECFAAUAAAACACHTuJAoV5oILcBAABgAwAADgAAAAAAAAABACAAAAA3AQAAZHJz&#10;L2Uyb0RvYy54bWxQSwUGAAAAAAYABgBZAQAAYAUAAAAA&#10;">
                <v:fill on="f" focussize="0,0"/>
                <v:stroke color="#FF0000" joinstyle="round"/>
                <v:imagedata o:title=""/>
                <o:lock v:ext="edit" aspectratio="f"/>
              </v:line>
            </w:pict>
          </mc:Fallback>
        </mc:AlternateContent>
      </w:r>
      <w:r>
        <w:rPr>
          <w:rFonts w:ascii="Times New Roman" w:eastAsia="仿宋_GB2312" w:hAnsi="Times New Roman" w:hint="eastAsia"/>
          <w:color w:val="000000"/>
          <w:kern w:val="0"/>
          <w:sz w:val="44"/>
          <w:szCs w:val="44"/>
        </w:rPr>
        <w:t xml:space="preserve"> </w:t>
      </w:r>
    </w:p>
    <w:p w:rsidR="00432F5B" w:rsidRDefault="008F0F34">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关于开展</w:t>
      </w: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hint="eastAsia"/>
          <w:bCs/>
          <w:sz w:val="44"/>
          <w:szCs w:val="44"/>
        </w:rPr>
        <w:t>4</w:t>
      </w:r>
      <w:r>
        <w:rPr>
          <w:rFonts w:ascii="方正小标宋简体" w:eastAsia="方正小标宋简体" w:hAnsi="方正小标宋简体" w:cs="方正小标宋简体" w:hint="eastAsia"/>
          <w:bCs/>
          <w:sz w:val="44"/>
          <w:szCs w:val="44"/>
        </w:rPr>
        <w:t>年聊城市</w:t>
      </w:r>
      <w:r>
        <w:rPr>
          <w:rStyle w:val="fontstyle21"/>
          <w:rFonts w:ascii="方正小标宋简体" w:eastAsia="方正小标宋简体" w:hAnsi="方正小标宋简体" w:cs="方正小标宋简体" w:hint="eastAsia"/>
          <w:sz w:val="44"/>
          <w:szCs w:val="44"/>
        </w:rPr>
        <w:t>家电以旧换新消费</w:t>
      </w:r>
      <w:r>
        <w:rPr>
          <w:rStyle w:val="fontstyle21"/>
          <w:rFonts w:ascii="方正小标宋简体" w:eastAsia="方正小标宋简体" w:hAnsi="方正小标宋简体" w:cs="方正小标宋简体" w:hint="eastAsia"/>
          <w:sz w:val="44"/>
          <w:szCs w:val="44"/>
        </w:rPr>
        <w:t>券发放</w:t>
      </w:r>
      <w:r>
        <w:rPr>
          <w:rStyle w:val="fontstyle21"/>
          <w:rFonts w:ascii="方正小标宋简体" w:eastAsia="方正小标宋简体" w:hAnsi="方正小标宋简体" w:cs="方正小标宋简体" w:hint="eastAsia"/>
          <w:sz w:val="44"/>
          <w:szCs w:val="44"/>
        </w:rPr>
        <w:t>活动</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新能源汽车</w:t>
      </w:r>
      <w:r>
        <w:rPr>
          <w:rFonts w:ascii="方正小标宋简体" w:eastAsia="方正小标宋简体" w:hAnsi="方正小标宋简体" w:cs="方正小标宋简体" w:hint="eastAsia"/>
          <w:bCs/>
          <w:sz w:val="44"/>
          <w:szCs w:val="44"/>
        </w:rPr>
        <w:t>下乡补贴发放</w:t>
      </w:r>
    </w:p>
    <w:p w:rsidR="00432F5B" w:rsidRDefault="008F0F34">
      <w:pPr>
        <w:spacing w:line="580" w:lineRule="exact"/>
        <w:jc w:val="center"/>
        <w:rPr>
          <w:rFonts w:ascii="仿宋_GB2312" w:eastAsia="方正小标宋简体" w:hAnsi="Microsoft YaHei UI"/>
          <w:color w:val="000000"/>
          <w:spacing w:val="9"/>
          <w:kern w:val="0"/>
          <w:sz w:val="32"/>
          <w:szCs w:val="32"/>
        </w:rPr>
      </w:pPr>
      <w:r>
        <w:rPr>
          <w:rFonts w:ascii="方正小标宋简体" w:eastAsia="方正小标宋简体" w:hAnsi="方正小标宋简体" w:cs="方正小标宋简体" w:hint="eastAsia"/>
          <w:bCs/>
          <w:sz w:val="44"/>
          <w:szCs w:val="44"/>
        </w:rPr>
        <w:t>活动</w:t>
      </w:r>
      <w:r>
        <w:rPr>
          <w:rFonts w:ascii="方正小标宋简体" w:eastAsia="方正小标宋简体" w:hAnsi="方正小标宋简体" w:cs="方正小标宋简体" w:hint="eastAsia"/>
          <w:bCs/>
          <w:sz w:val="44"/>
          <w:szCs w:val="44"/>
        </w:rPr>
        <w:t>的通知</w:t>
      </w:r>
    </w:p>
    <w:p w:rsidR="00432F5B" w:rsidRDefault="00432F5B">
      <w:pPr>
        <w:widowControl/>
        <w:shd w:val="clear" w:color="auto" w:fill="FFFFFF"/>
        <w:spacing w:line="600" w:lineRule="exact"/>
        <w:rPr>
          <w:rFonts w:ascii="仿宋_GB2312" w:eastAsia="仿宋_GB2312" w:hAnsi="Microsoft YaHei UI"/>
          <w:color w:val="000000"/>
          <w:spacing w:val="9"/>
          <w:kern w:val="0"/>
          <w:sz w:val="32"/>
          <w:szCs w:val="32"/>
        </w:rPr>
      </w:pPr>
    </w:p>
    <w:p w:rsidR="00432F5B" w:rsidRDefault="008F0F34">
      <w:pPr>
        <w:widowControl/>
        <w:shd w:val="clear" w:color="auto" w:fill="FFFFFF"/>
        <w:spacing w:line="600" w:lineRule="exact"/>
        <w:rPr>
          <w:rFonts w:ascii="仿宋_GB2312" w:eastAsia="仿宋_GB2312" w:hAnsi="Microsoft YaHei UI"/>
          <w:color w:val="000000"/>
          <w:spacing w:val="9"/>
          <w:kern w:val="0"/>
          <w:sz w:val="32"/>
          <w:szCs w:val="32"/>
        </w:rPr>
      </w:pPr>
      <w:r>
        <w:rPr>
          <w:rFonts w:ascii="仿宋_GB2312" w:eastAsia="仿宋_GB2312" w:hAnsi="Microsoft YaHei UI" w:hint="eastAsia"/>
          <w:color w:val="000000"/>
          <w:spacing w:val="9"/>
          <w:kern w:val="0"/>
          <w:sz w:val="32"/>
          <w:szCs w:val="32"/>
        </w:rPr>
        <w:t>各县（市、区）人民政府、市属开发区管委会</w:t>
      </w:r>
      <w:r>
        <w:rPr>
          <w:rFonts w:ascii="仿宋_GB2312" w:eastAsia="仿宋_GB2312" w:hAnsi="Microsoft YaHei UI"/>
          <w:color w:val="000000"/>
          <w:spacing w:val="9"/>
          <w:kern w:val="0"/>
          <w:sz w:val="32"/>
          <w:szCs w:val="32"/>
        </w:rPr>
        <w:t>：</w:t>
      </w:r>
    </w:p>
    <w:p w:rsidR="00432F5B" w:rsidRDefault="008F0F3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为持续推动我市家电</w:t>
      </w:r>
      <w:r>
        <w:rPr>
          <w:rFonts w:ascii="仿宋_GB2312" w:eastAsia="仿宋_GB2312" w:hAnsi="仿宋_GB2312" w:cs="仿宋_GB2312" w:hint="eastAsia"/>
          <w:sz w:val="32"/>
          <w:szCs w:val="32"/>
        </w:rPr>
        <w:t>、汽车</w:t>
      </w:r>
      <w:r>
        <w:rPr>
          <w:rFonts w:ascii="仿宋_GB2312" w:eastAsia="仿宋_GB2312" w:hAnsi="仿宋_GB2312" w:cs="仿宋_GB2312" w:hint="eastAsia"/>
          <w:sz w:val="32"/>
          <w:szCs w:val="32"/>
        </w:rPr>
        <w:t>消费市场</w:t>
      </w:r>
      <w:r>
        <w:rPr>
          <w:rFonts w:ascii="仿宋_GB2312" w:eastAsia="仿宋_GB2312" w:hAnsi="仿宋_GB2312" w:cs="仿宋_GB2312" w:hint="eastAsia"/>
          <w:sz w:val="32"/>
          <w:szCs w:val="32"/>
        </w:rPr>
        <w:t>繁荣发展</w:t>
      </w:r>
      <w:r>
        <w:rPr>
          <w:rFonts w:ascii="仿宋_GB2312" w:eastAsia="仿宋_GB2312" w:hAnsi="仿宋_GB2312" w:cs="仿宋_GB2312" w:hint="eastAsia"/>
          <w:sz w:val="32"/>
          <w:szCs w:val="32"/>
        </w:rPr>
        <w:t>，最大限度的惠及百姓，惠及企业，促进经济</w:t>
      </w:r>
      <w:r>
        <w:rPr>
          <w:rFonts w:ascii="仿宋_GB2312" w:eastAsia="仿宋_GB2312" w:hAnsi="仿宋_GB2312" w:cs="仿宋_GB2312" w:hint="eastAsia"/>
          <w:sz w:val="32"/>
          <w:szCs w:val="32"/>
        </w:rPr>
        <w:t>稳中向好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活跃节日消费市场，</w:t>
      </w:r>
      <w:r>
        <w:rPr>
          <w:rFonts w:ascii="仿宋_GB2312" w:eastAsia="仿宋_GB2312" w:hAnsi="仿宋_GB2312" w:cs="仿宋_GB2312" w:hint="eastAsia"/>
          <w:sz w:val="32"/>
          <w:szCs w:val="32"/>
        </w:rPr>
        <w:t>决定开展</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年聊城市</w:t>
      </w:r>
      <w:r>
        <w:rPr>
          <w:rFonts w:ascii="仿宋_GB2312" w:eastAsia="仿宋_GB2312" w:hAnsi="仿宋_GB2312" w:cs="仿宋_GB2312" w:hint="eastAsia"/>
          <w:sz w:val="32"/>
          <w:szCs w:val="32"/>
        </w:rPr>
        <w:t>家电以旧换新消费券发放</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、新能源汽车下乡补贴发放活动</w:t>
      </w:r>
      <w:r>
        <w:rPr>
          <w:rFonts w:ascii="仿宋_GB2312" w:eastAsia="仿宋_GB2312" w:hAnsi="仿宋_GB2312" w:cs="仿宋_GB2312" w:hint="eastAsia"/>
          <w:sz w:val="32"/>
          <w:szCs w:val="32"/>
        </w:rPr>
        <w:t>，特制定</w:t>
      </w:r>
      <w:r>
        <w:rPr>
          <w:rFonts w:ascii="仿宋_GB2312" w:eastAsia="仿宋_GB2312" w:hAnsi="仿宋_GB2312" w:cs="仿宋_GB2312" w:hint="eastAsia"/>
          <w:sz w:val="32"/>
          <w:szCs w:val="32"/>
        </w:rPr>
        <w:t>以下两</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现将方案印发给你们，请认真组织实施。</w:t>
      </w:r>
    </w:p>
    <w:p w:rsidR="00432F5B" w:rsidRDefault="008F0F34">
      <w:pPr>
        <w:spacing w:line="600" w:lineRule="exact"/>
        <w:ind w:leftChars="456" w:left="1118" w:hangingChars="50" w:hanging="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32F5B" w:rsidRDefault="00432F5B">
      <w:pPr>
        <w:spacing w:line="600" w:lineRule="exact"/>
        <w:ind w:firstLineChars="250" w:firstLine="800"/>
        <w:rPr>
          <w:rFonts w:ascii="仿宋_GB2312" w:eastAsia="仿宋_GB2312" w:hAnsi="仿宋_GB2312" w:cs="仿宋_GB2312"/>
          <w:sz w:val="32"/>
          <w:szCs w:val="32"/>
        </w:rPr>
      </w:pPr>
    </w:p>
    <w:p w:rsidR="00432F5B" w:rsidRDefault="008F0F34">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聊城市财政局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聊城市商务局</w:t>
      </w:r>
    </w:p>
    <w:p w:rsidR="00432F5B" w:rsidRDefault="008F0F34">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p w:rsidR="00432F5B" w:rsidRDefault="00432F5B">
      <w:pPr>
        <w:spacing w:line="600" w:lineRule="exact"/>
        <w:ind w:firstLineChars="250" w:firstLine="800"/>
        <w:rPr>
          <w:rFonts w:ascii="仿宋_GB2312" w:eastAsia="仿宋_GB2312" w:hAnsi="仿宋_GB2312" w:cs="仿宋_GB2312"/>
          <w:sz w:val="32"/>
          <w:szCs w:val="32"/>
        </w:rPr>
      </w:pPr>
    </w:p>
    <w:p w:rsidR="00432F5B" w:rsidRDefault="008F0F34">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（此件主动公开）</w:t>
      </w:r>
    </w:p>
    <w:p w:rsidR="00432F5B" w:rsidRDefault="00432F5B">
      <w:pPr>
        <w:spacing w:line="580" w:lineRule="exact"/>
        <w:jc w:val="center"/>
        <w:rPr>
          <w:rStyle w:val="fontstyle21"/>
          <w:rFonts w:ascii="方正小标宋简体" w:eastAsia="方正小标宋简体" w:hAnsi="方正小标宋简体" w:cs="方正小标宋简体"/>
          <w:sz w:val="44"/>
          <w:szCs w:val="44"/>
        </w:rPr>
      </w:pPr>
    </w:p>
    <w:p w:rsidR="00432F5B" w:rsidRDefault="008F0F34">
      <w:pPr>
        <w:spacing w:line="580" w:lineRule="exact"/>
        <w:jc w:val="center"/>
        <w:rPr>
          <w:rStyle w:val="fontstyle21"/>
          <w:rFonts w:ascii="方正小标宋简体" w:eastAsia="方正小标宋简体" w:hAnsi="方正小标宋简体" w:cs="方正小标宋简体"/>
          <w:sz w:val="44"/>
          <w:szCs w:val="44"/>
        </w:rPr>
      </w:pPr>
      <w:r>
        <w:rPr>
          <w:rStyle w:val="fontstyle21"/>
          <w:rFonts w:ascii="方正小标宋简体" w:eastAsia="方正小标宋简体" w:hAnsi="方正小标宋简体" w:cs="方正小标宋简体" w:hint="eastAsia"/>
          <w:sz w:val="44"/>
          <w:szCs w:val="44"/>
        </w:rPr>
        <w:lastRenderedPageBreak/>
        <w:t>2024</w:t>
      </w:r>
      <w:r>
        <w:rPr>
          <w:rStyle w:val="fontstyle21"/>
          <w:rFonts w:ascii="方正小标宋简体" w:eastAsia="方正小标宋简体" w:hAnsi="方正小标宋简体" w:cs="方正小标宋简体" w:hint="eastAsia"/>
          <w:sz w:val="44"/>
          <w:szCs w:val="44"/>
        </w:rPr>
        <w:t>年聊城市</w:t>
      </w:r>
      <w:r>
        <w:rPr>
          <w:rStyle w:val="fontstyle21"/>
          <w:rFonts w:ascii="方正小标宋简体" w:eastAsia="方正小标宋简体" w:hAnsi="方正小标宋简体" w:cs="方正小标宋简体" w:hint="eastAsia"/>
          <w:sz w:val="44"/>
          <w:szCs w:val="44"/>
        </w:rPr>
        <w:t>家电以旧换新消费</w:t>
      </w:r>
      <w:r>
        <w:rPr>
          <w:rStyle w:val="fontstyle21"/>
          <w:rFonts w:ascii="方正小标宋简体" w:eastAsia="方正小标宋简体" w:hAnsi="方正小标宋简体" w:cs="方正小标宋简体" w:hint="eastAsia"/>
          <w:sz w:val="44"/>
          <w:szCs w:val="44"/>
        </w:rPr>
        <w:t>券发放</w:t>
      </w:r>
    </w:p>
    <w:p w:rsidR="00432F5B" w:rsidRDefault="008F0F34">
      <w:pPr>
        <w:spacing w:line="580" w:lineRule="exact"/>
        <w:jc w:val="center"/>
        <w:rPr>
          <w:rStyle w:val="fontstyle21"/>
          <w:rFonts w:ascii="方正小标宋简体" w:eastAsia="方正小标宋简体" w:hAnsi="方正小标宋简体" w:cs="方正小标宋简体"/>
          <w:sz w:val="44"/>
          <w:szCs w:val="44"/>
        </w:rPr>
      </w:pPr>
      <w:r>
        <w:rPr>
          <w:rStyle w:val="fontstyle21"/>
          <w:rFonts w:ascii="方正小标宋简体" w:eastAsia="方正小标宋简体" w:hAnsi="方正小标宋简体" w:cs="方正小标宋简体" w:hint="eastAsia"/>
          <w:sz w:val="44"/>
          <w:szCs w:val="44"/>
        </w:rPr>
        <w:t>活动</w:t>
      </w:r>
      <w:r>
        <w:rPr>
          <w:rStyle w:val="fontstyle21"/>
          <w:rFonts w:ascii="方正小标宋简体" w:eastAsia="方正小标宋简体" w:hAnsi="方正小标宋简体" w:cs="方正小标宋简体" w:hint="eastAsia"/>
          <w:sz w:val="44"/>
          <w:szCs w:val="44"/>
        </w:rPr>
        <w:t>实施</w:t>
      </w:r>
      <w:r>
        <w:rPr>
          <w:rStyle w:val="fontstyle21"/>
          <w:rFonts w:ascii="方正小标宋简体" w:eastAsia="方正小标宋简体" w:hAnsi="方正小标宋简体" w:cs="方正小标宋简体" w:hint="eastAsia"/>
          <w:sz w:val="44"/>
          <w:szCs w:val="44"/>
        </w:rPr>
        <w:t>方案</w:t>
      </w:r>
    </w:p>
    <w:p w:rsidR="00432F5B" w:rsidRDefault="00432F5B">
      <w:pPr>
        <w:spacing w:line="580" w:lineRule="exact"/>
        <w:ind w:firstLineChars="200" w:firstLine="640"/>
        <w:rPr>
          <w:rFonts w:ascii="楷体" w:eastAsia="楷体" w:hAnsi="楷体" w:cs="Arial"/>
          <w:color w:val="000000"/>
          <w:sz w:val="32"/>
          <w:szCs w:val="32"/>
        </w:rPr>
      </w:pP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color w:val="000000"/>
          <w:kern w:val="0"/>
          <w:sz w:val="32"/>
          <w:szCs w:val="32"/>
        </w:rPr>
        <w:t>为深入贯彻落实国务院《关于印发推动大规模设备更新和消费品以旧换新行动方案的通知》精神，按照商务部和省委、省政府“消费促进年”工作部署，根据省商务厅《关于做好“</w:t>
      </w:r>
      <w:r>
        <w:rPr>
          <w:rFonts w:ascii="仿宋_GB2312" w:eastAsia="仿宋_GB2312" w:hAnsi="仿宋_GB2312" w:cs="仿宋_GB2312" w:hint="eastAsia"/>
          <w:snapToGrid w:val="0"/>
          <w:color w:val="000000"/>
          <w:kern w:val="0"/>
          <w:sz w:val="32"/>
          <w:szCs w:val="32"/>
        </w:rPr>
        <w:t>2024</w:t>
      </w:r>
      <w:r>
        <w:rPr>
          <w:rFonts w:ascii="仿宋_GB2312" w:eastAsia="仿宋_GB2312" w:hAnsi="仿宋_GB2312" w:cs="仿宋_GB2312" w:hint="eastAsia"/>
          <w:snapToGrid w:val="0"/>
          <w:color w:val="000000"/>
          <w:kern w:val="0"/>
          <w:sz w:val="32"/>
          <w:szCs w:val="32"/>
        </w:rPr>
        <w:t>山东消费促进年</w:t>
      </w:r>
      <w:r>
        <w:rPr>
          <w:rFonts w:ascii="仿宋_GB2312" w:eastAsia="仿宋_GB2312" w:hAnsi="仿宋_GB2312" w:cs="仿宋_GB2312" w:hint="eastAsia"/>
          <w:snapToGrid w:val="0"/>
          <w:color w:val="000000"/>
          <w:kern w:val="0"/>
          <w:sz w:val="32"/>
          <w:szCs w:val="32"/>
        </w:rPr>
        <w:t>”活动组织工作的通知》以及《关于强化工作措施确保一季度“开门红”的通知》要求，</w:t>
      </w:r>
      <w:r>
        <w:rPr>
          <w:rFonts w:ascii="仿宋_GB2312" w:eastAsia="仿宋_GB2312" w:hAnsi="仿宋_GB2312" w:cs="仿宋_GB2312" w:hint="eastAsia"/>
          <w:sz w:val="32"/>
          <w:szCs w:val="32"/>
        </w:rPr>
        <w:t>推动我市家电</w:t>
      </w:r>
      <w:r>
        <w:rPr>
          <w:rFonts w:ascii="仿宋_GB2312" w:eastAsia="仿宋_GB2312" w:hAnsi="仿宋_GB2312" w:cs="仿宋_GB2312" w:hint="eastAsia"/>
          <w:sz w:val="32"/>
          <w:szCs w:val="32"/>
        </w:rPr>
        <w:t>以旧换新工作顺利开展</w:t>
      </w:r>
      <w:r>
        <w:rPr>
          <w:rFonts w:ascii="仿宋_GB2312" w:eastAsia="仿宋_GB2312" w:hAnsi="仿宋_GB2312" w:cs="仿宋_GB2312" w:hint="eastAsia"/>
          <w:sz w:val="32"/>
          <w:szCs w:val="32"/>
        </w:rPr>
        <w:t>繁荣发展，最大限度的惠及</w:t>
      </w:r>
      <w:r>
        <w:rPr>
          <w:rFonts w:ascii="仿宋_GB2312" w:eastAsia="仿宋_GB2312" w:hAnsi="仿宋_GB2312" w:cs="仿宋_GB2312" w:hint="eastAsia"/>
          <w:sz w:val="32"/>
          <w:szCs w:val="32"/>
        </w:rPr>
        <w:t>消费者</w:t>
      </w:r>
      <w:r>
        <w:rPr>
          <w:rFonts w:ascii="仿宋_GB2312" w:eastAsia="仿宋_GB2312" w:hAnsi="仿宋_GB2312" w:cs="仿宋_GB2312" w:hint="eastAsia"/>
          <w:sz w:val="32"/>
          <w:szCs w:val="32"/>
        </w:rPr>
        <w:t>，决定开展</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聊城市家电以旧换新消费补贴</w:t>
      </w:r>
      <w:r>
        <w:rPr>
          <w:rFonts w:ascii="仿宋_GB2312" w:eastAsia="仿宋_GB2312" w:hAnsi="仿宋_GB2312" w:cs="仿宋_GB2312" w:hint="eastAsia"/>
          <w:sz w:val="32"/>
          <w:szCs w:val="32"/>
        </w:rPr>
        <w:t>发放</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特</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，内容如下：</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一、活动内容</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（一）活动时间</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起，直至发完为止。</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（二）活动预算</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本次活动发放</w:t>
      </w:r>
      <w:r>
        <w:rPr>
          <w:rFonts w:ascii="仿宋_GB2312" w:eastAsia="仿宋_GB2312" w:hAnsi="仿宋_GB2312" w:cs="仿宋_GB2312" w:hint="eastAsia"/>
          <w:sz w:val="32"/>
          <w:szCs w:val="32"/>
        </w:rPr>
        <w:t>“家电</w:t>
      </w:r>
      <w:r>
        <w:rPr>
          <w:rFonts w:ascii="仿宋_GB2312" w:eastAsia="仿宋_GB2312" w:hAnsi="仿宋_GB2312" w:cs="仿宋_GB2312" w:hint="eastAsia"/>
          <w:sz w:val="32"/>
          <w:szCs w:val="32"/>
        </w:rPr>
        <w:t>以旧换新消费券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（三）参与范围</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消费券投放对象：在聊参与家电以旧换新消费者。</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参加活动商家：</w:t>
      </w:r>
      <w:r>
        <w:rPr>
          <w:rFonts w:ascii="仿宋_GB2312" w:eastAsia="仿宋_GB2312" w:hAnsi="仿宋_GB2312" w:cs="仿宋_GB2312" w:hint="eastAsia"/>
          <w:sz w:val="32"/>
          <w:szCs w:val="32"/>
        </w:rPr>
        <w:t>入驻“惠循环”家电以旧换新数字化服务平台的商家、企业。</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活动商品范围：参加商家</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所销售的</w:t>
      </w:r>
      <w:r>
        <w:rPr>
          <w:rFonts w:ascii="仿宋_GB2312" w:eastAsia="仿宋_GB2312" w:hAnsi="仿宋_GB2312" w:cs="仿宋_GB2312"/>
          <w:sz w:val="32"/>
          <w:szCs w:val="32"/>
        </w:rPr>
        <w:t>空</w:t>
      </w:r>
      <w:r>
        <w:rPr>
          <w:rFonts w:ascii="仿宋_GB2312" w:eastAsia="仿宋_GB2312" w:hAnsi="仿宋_GB2312" w:cs="仿宋_GB2312" w:hint="eastAsia"/>
          <w:sz w:val="32"/>
          <w:szCs w:val="32"/>
        </w:rPr>
        <w:t>调、冰箱、洗衣机</w:t>
      </w:r>
      <w:r>
        <w:rPr>
          <w:rFonts w:ascii="仿宋_GB2312" w:eastAsia="仿宋_GB2312" w:hAnsi="仿宋_GB2312" w:cs="仿宋_GB2312"/>
          <w:sz w:val="32"/>
          <w:szCs w:val="32"/>
        </w:rPr>
        <w:t>、电视机</w:t>
      </w:r>
      <w:r>
        <w:rPr>
          <w:rFonts w:ascii="仿宋_GB2312" w:eastAsia="仿宋_GB2312" w:hAnsi="仿宋_GB2312" w:cs="仿宋_GB2312" w:hint="eastAsia"/>
          <w:sz w:val="32"/>
          <w:szCs w:val="32"/>
        </w:rPr>
        <w:t>等各类家电，本次活动手机、电脑不参加</w:t>
      </w:r>
      <w:r>
        <w:rPr>
          <w:rFonts w:ascii="仿宋_GB2312" w:eastAsia="仿宋_GB2312" w:hAnsi="仿宋_GB2312" w:cs="仿宋_GB2312" w:hint="eastAsia"/>
          <w:sz w:val="32"/>
          <w:szCs w:val="32"/>
        </w:rPr>
        <w:t>。</w:t>
      </w:r>
    </w:p>
    <w:p w:rsidR="00432F5B" w:rsidRDefault="008F0F34">
      <w:pPr>
        <w:spacing w:line="580" w:lineRule="exact"/>
        <w:ind w:leftChars="304" w:left="638"/>
        <w:rPr>
          <w:rFonts w:ascii="楷体_GB2312" w:eastAsia="楷体_GB2312" w:hAnsi="楷体_GB2312" w:cs="楷体_GB2312"/>
          <w:sz w:val="32"/>
          <w:szCs w:val="32"/>
        </w:rPr>
      </w:pPr>
      <w:r>
        <w:rPr>
          <w:rFonts w:ascii="楷体_GB2312" w:eastAsia="楷体_GB2312" w:hAnsi="楷体_GB2312" w:cs="楷体_GB2312" w:hint="eastAsia"/>
          <w:sz w:val="32"/>
          <w:szCs w:val="32"/>
        </w:rPr>
        <w:t>（四）消费券发放和使用规则</w:t>
      </w:r>
      <w:r>
        <w:rPr>
          <w:rFonts w:ascii="楷体_GB2312" w:eastAsia="楷体_GB2312" w:hAnsi="楷体_GB2312" w:cs="楷体_GB2312" w:hint="eastAsia"/>
          <w:sz w:val="32"/>
          <w:szCs w:val="32"/>
        </w:rPr>
        <w:t xml:space="preserve"> </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凭“惠循环”</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电评估凭证参加以旧换新</w:t>
      </w:r>
      <w:r>
        <w:rPr>
          <w:rFonts w:ascii="仿宋_GB2312" w:eastAsia="仿宋_GB2312" w:hAnsi="仿宋_GB2312" w:cs="仿宋_GB2312" w:hint="eastAsia"/>
          <w:sz w:val="32"/>
          <w:szCs w:val="32"/>
        </w:rPr>
        <w:t>消费券领取</w:t>
      </w:r>
      <w:r>
        <w:rPr>
          <w:rFonts w:ascii="仿宋_GB2312" w:eastAsia="仿宋_GB2312" w:hAnsi="仿宋_GB2312" w:cs="仿宋_GB2312" w:hint="eastAsia"/>
          <w:sz w:val="32"/>
          <w:szCs w:val="32"/>
        </w:rPr>
        <w:lastRenderedPageBreak/>
        <w:t>活动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在活动有效期内，消费者提交回收订单后即发放</w:t>
      </w:r>
      <w:r>
        <w:rPr>
          <w:rFonts w:ascii="仿宋_GB2312" w:eastAsia="仿宋_GB2312" w:hAnsi="仿宋_GB2312" w:cs="仿宋_GB2312" w:hint="eastAsia"/>
          <w:sz w:val="32"/>
          <w:szCs w:val="32"/>
        </w:rPr>
        <w:t>消费券，消费券</w:t>
      </w:r>
      <w:r>
        <w:rPr>
          <w:rFonts w:ascii="仿宋_GB2312" w:eastAsia="仿宋_GB2312" w:hAnsi="仿宋_GB2312" w:cs="仿宋_GB2312" w:hint="eastAsia"/>
          <w:sz w:val="32"/>
          <w:szCs w:val="32"/>
        </w:rPr>
        <w:t>状态（待激活）；</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回收订单收旧完成后</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状态（待使用）</w:t>
      </w:r>
      <w:r>
        <w:rPr>
          <w:rFonts w:ascii="仿宋_GB2312" w:eastAsia="仿宋_GB2312" w:hAnsi="仿宋_GB2312" w:cs="仿宋_GB2312" w:hint="eastAsia"/>
          <w:sz w:val="32"/>
          <w:szCs w:val="32"/>
        </w:rPr>
        <w:t>；</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回收订单取消</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状态（已作废）；</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活动结束后，消费者提交订单不再发放</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，已发放但未激活的</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可在收旧完成后继续激活继</w:t>
      </w:r>
      <w:r>
        <w:rPr>
          <w:rFonts w:ascii="仿宋_GB2312" w:eastAsia="仿宋_GB2312" w:hAnsi="仿宋_GB2312" w:cs="仿宋_GB2312" w:hint="eastAsia"/>
          <w:sz w:val="32"/>
          <w:szCs w:val="32"/>
        </w:rPr>
        <w:t>续使用；</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已发放的待使用</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，活动结束后仍可继续使用</w:t>
      </w:r>
      <w:r>
        <w:rPr>
          <w:rFonts w:ascii="仿宋_GB2312" w:eastAsia="仿宋_GB2312" w:hAnsi="仿宋_GB2312" w:cs="仿宋_GB2312" w:hint="eastAsia"/>
          <w:sz w:val="32"/>
          <w:szCs w:val="32"/>
        </w:rPr>
        <w:t>；</w:t>
      </w:r>
    </w:p>
    <w:p w:rsidR="00432F5B" w:rsidRDefault="008F0F34">
      <w:pPr>
        <w:spacing w:line="580" w:lineRule="exact"/>
        <w:ind w:firstLineChars="200" w:firstLine="640"/>
        <w:rPr>
          <w:rFonts w:ascii="仿宋" w:eastAsia="仿宋" w:hAnsi="仿宋"/>
          <w:color w:val="FF0000"/>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本次活动</w:t>
      </w:r>
      <w:r>
        <w:rPr>
          <w:rFonts w:ascii="仿宋_GB2312" w:eastAsia="仿宋_GB2312" w:hAnsi="仿宋_GB2312" w:cs="仿宋_GB2312" w:hint="eastAsia"/>
          <w:sz w:val="32"/>
          <w:szCs w:val="32"/>
        </w:rPr>
        <w:t>消费券</w:t>
      </w:r>
      <w:r>
        <w:rPr>
          <w:rFonts w:ascii="仿宋_GB2312" w:eastAsia="仿宋_GB2312" w:hAnsi="仿宋_GB2312" w:cs="仿宋_GB2312" w:hint="eastAsia"/>
          <w:sz w:val="32"/>
          <w:szCs w:val="32"/>
        </w:rPr>
        <w:t>发完即止，活动结束后未使用部分视情况决定是否延长活动时间。</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二、活动规则</w:t>
      </w:r>
    </w:p>
    <w:p w:rsidR="00432F5B" w:rsidRDefault="008F0F34">
      <w:pPr>
        <w:spacing w:line="58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sz w:val="32"/>
          <w:szCs w:val="32"/>
        </w:rPr>
        <w:t>补贴标准（试行，后期根据实际情况进行调整）</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1999</w:t>
      </w:r>
      <w:r>
        <w:rPr>
          <w:rFonts w:ascii="仿宋_GB2312" w:eastAsia="仿宋_GB2312" w:hAnsi="仿宋_GB2312" w:cs="仿宋_GB2312" w:hint="eastAsia"/>
          <w:color w:val="000000"/>
          <w:sz w:val="32"/>
          <w:szCs w:val="32"/>
        </w:rPr>
        <w:t>元，补贴</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元；</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2999</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补贴</w:t>
      </w:r>
      <w:r>
        <w:rPr>
          <w:rFonts w:ascii="仿宋_GB2312" w:eastAsia="仿宋_GB2312" w:hAnsi="仿宋_GB2312" w:cs="仿宋_GB2312" w:hint="eastAsia"/>
          <w:color w:val="000000"/>
          <w:sz w:val="32"/>
          <w:szCs w:val="32"/>
        </w:rPr>
        <w:t>200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3999</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补贴</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元；</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4999</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补贴</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元；</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5999</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补贴</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元；</w:t>
      </w:r>
    </w:p>
    <w:p w:rsidR="00432F5B" w:rsidRDefault="008F0F3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补贴</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元。</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（二）补贴发放平台</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“惠循环”为本次以旧换新补贴活动平台入口</w:t>
      </w:r>
      <w:r>
        <w:rPr>
          <w:rFonts w:ascii="仿宋_GB2312" w:eastAsia="仿宋_GB2312" w:hAnsi="仿宋_GB2312" w:cs="仿宋_GB2312" w:hint="eastAsia"/>
          <w:sz w:val="32"/>
          <w:szCs w:val="32"/>
        </w:rPr>
        <w:t>，消费者</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微信小程序登录惠循环注册登录，参与以旧换新</w:t>
      </w:r>
      <w:r>
        <w:rPr>
          <w:rFonts w:ascii="仿宋_GB2312" w:eastAsia="仿宋_GB2312" w:hAnsi="仿宋_GB2312" w:cs="仿宋_GB2312" w:hint="eastAsia"/>
          <w:sz w:val="32"/>
          <w:szCs w:val="32"/>
        </w:rPr>
        <w:t>消费券领取</w:t>
      </w:r>
      <w:r>
        <w:rPr>
          <w:rFonts w:ascii="仿宋_GB2312" w:eastAsia="仿宋_GB2312" w:hAnsi="仿宋_GB2312" w:cs="仿宋_GB2312" w:hint="eastAsia"/>
          <w:sz w:val="32"/>
          <w:szCs w:val="32"/>
        </w:rPr>
        <w:t>活动。</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三、活动保障</w:t>
      </w:r>
    </w:p>
    <w:p w:rsidR="00432F5B" w:rsidRDefault="008F0F34">
      <w:pPr>
        <w:spacing w:line="58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（一）客诉保障：</w:t>
      </w:r>
      <w:r>
        <w:rPr>
          <w:rFonts w:ascii="仿宋_GB2312" w:eastAsia="仿宋_GB2312" w:hAnsi="仿宋_GB2312" w:cs="仿宋_GB2312" w:hint="eastAsia"/>
          <w:sz w:val="32"/>
          <w:szCs w:val="32"/>
        </w:rPr>
        <w:t>惠讯云（山东）环保科技有限公司提</w:t>
      </w:r>
      <w:r>
        <w:rPr>
          <w:rFonts w:ascii="仿宋_GB2312" w:eastAsia="仿宋_GB2312" w:hAnsi="仿宋_GB2312" w:cs="仿宋_GB2312" w:hint="eastAsia"/>
          <w:sz w:val="32"/>
          <w:szCs w:val="32"/>
        </w:rPr>
        <w:lastRenderedPageBreak/>
        <w:t>供</w:t>
      </w:r>
      <w:r>
        <w:rPr>
          <w:rFonts w:ascii="仿宋_GB2312" w:eastAsia="仿宋_GB2312" w:hAnsi="仿宋_GB2312" w:cs="仿宋_GB2312" w:hint="eastAsia"/>
          <w:sz w:val="32"/>
          <w:szCs w:val="32"/>
        </w:rPr>
        <w:t>7*24</w:t>
      </w:r>
      <w:r>
        <w:rPr>
          <w:rFonts w:ascii="仿宋_GB2312" w:eastAsia="仿宋_GB2312" w:hAnsi="仿宋_GB2312" w:cs="仿宋_GB2312" w:hint="eastAsia"/>
          <w:sz w:val="32"/>
          <w:szCs w:val="32"/>
        </w:rPr>
        <w:t>小时专业客服电话，活动问题可拨打</w:t>
      </w:r>
      <w:r>
        <w:rPr>
          <w:rFonts w:ascii="仿宋_GB2312" w:eastAsia="仿宋_GB2312" w:hAnsi="仿宋_GB2312" w:cs="仿宋_GB2312" w:hint="eastAsia"/>
          <w:sz w:val="32"/>
          <w:szCs w:val="32"/>
        </w:rPr>
        <w:t>4007188198</w:t>
      </w:r>
      <w:r>
        <w:rPr>
          <w:rFonts w:ascii="仿宋_GB2312" w:eastAsia="仿宋_GB2312" w:hAnsi="仿宋_GB2312" w:cs="仿宋_GB2312" w:hint="eastAsia"/>
          <w:sz w:val="32"/>
          <w:szCs w:val="32"/>
        </w:rPr>
        <w:t>进行咨询。</w:t>
      </w:r>
    </w:p>
    <w:p w:rsidR="00432F5B" w:rsidRDefault="008F0F34">
      <w:pPr>
        <w:spacing w:line="58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（二）人员保障：</w:t>
      </w:r>
      <w:r>
        <w:rPr>
          <w:rFonts w:ascii="楷体" w:eastAsia="楷体" w:hAnsi="楷体" w:cs="仿宋_GB2312" w:hint="eastAsia"/>
          <w:sz w:val="32"/>
          <w:szCs w:val="32"/>
        </w:rPr>
        <w:t>“</w:t>
      </w:r>
      <w:r>
        <w:rPr>
          <w:rFonts w:ascii="仿宋_GB2312" w:eastAsia="仿宋_GB2312" w:hAnsi="仿宋_GB2312" w:cs="仿宋_GB2312" w:hint="eastAsia"/>
          <w:sz w:val="32"/>
          <w:szCs w:val="32"/>
        </w:rPr>
        <w:t>惠循环</w:t>
      </w:r>
      <w:r>
        <w:rPr>
          <w:rFonts w:ascii="楷体" w:eastAsia="楷体" w:hAnsi="楷体" w:cs="仿宋_GB2312" w:hint="eastAsia"/>
          <w:sz w:val="32"/>
          <w:szCs w:val="32"/>
        </w:rPr>
        <w:t>”平台</w:t>
      </w:r>
      <w:r>
        <w:rPr>
          <w:rFonts w:ascii="仿宋_GB2312" w:eastAsia="仿宋_GB2312" w:hAnsi="仿宋_GB2312" w:cs="仿宋_GB2312" w:hint="eastAsia"/>
          <w:sz w:val="32"/>
          <w:szCs w:val="32"/>
        </w:rPr>
        <w:t>安排专门运营队伍，负责在活动期间维护商户受理等问题，保障参与活动商户顺利参加本次活动。</w:t>
      </w:r>
    </w:p>
    <w:p w:rsidR="00432F5B" w:rsidRDefault="008F0F34">
      <w:pPr>
        <w:spacing w:line="58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（三）数据保障：</w:t>
      </w:r>
      <w:r>
        <w:rPr>
          <w:rFonts w:ascii="仿宋_GB2312" w:eastAsia="仿宋_GB2312" w:hAnsi="仿宋_GB2312" w:cs="仿宋_GB2312" w:hint="eastAsia"/>
          <w:sz w:val="32"/>
          <w:szCs w:val="32"/>
        </w:rPr>
        <w:t>活动结束后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惠讯云（山东）环保科技有限公司向聊城市商务局提供脱敏补贴券核销数据，并根据聊城市商务局需求对数据进行解释、说明等工作。</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四、活动组织</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（一）市商务局：</w:t>
      </w:r>
      <w:r>
        <w:rPr>
          <w:rFonts w:ascii="仿宋_GB2312" w:eastAsia="仿宋_GB2312" w:hAnsi="仿宋_GB2312" w:cs="仿宋_GB2312" w:hint="eastAsia"/>
          <w:kern w:val="2"/>
          <w:sz w:val="32"/>
          <w:szCs w:val="32"/>
        </w:rPr>
        <w:t>牵头负责</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发放组织工作，引导相关企业、商家积极参与相关活动。</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（二）市财政局：</w:t>
      </w:r>
      <w:r>
        <w:rPr>
          <w:rFonts w:ascii="仿宋_GB2312" w:eastAsia="仿宋_GB2312" w:hAnsi="仿宋_GB2312" w:cs="仿宋_GB2312" w:hint="eastAsia"/>
          <w:kern w:val="2"/>
          <w:sz w:val="32"/>
          <w:szCs w:val="32"/>
        </w:rPr>
        <w:t>负责做好</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所需资金的筹措，并按规定程序及时拨付资金。</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（三）惠讯云（山东）环保科技有限公司：</w:t>
      </w:r>
      <w:r>
        <w:rPr>
          <w:rFonts w:ascii="仿宋_GB2312" w:eastAsia="仿宋_GB2312" w:hAnsi="仿宋_GB2312" w:cs="仿宋_GB2312" w:hint="eastAsia"/>
          <w:kern w:val="2"/>
          <w:sz w:val="32"/>
          <w:szCs w:val="32"/>
        </w:rPr>
        <w:t>负责</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的投放及</w:t>
      </w:r>
      <w:r>
        <w:rPr>
          <w:rFonts w:ascii="仿宋_GB2312" w:eastAsia="仿宋_GB2312" w:hAnsi="仿宋_GB2312" w:cs="仿宋_GB2312" w:hint="eastAsia"/>
          <w:color w:val="000000"/>
          <w:kern w:val="2"/>
          <w:sz w:val="32"/>
          <w:szCs w:val="32"/>
        </w:rPr>
        <w:t>自有渠道的宣传推广等工作，并</w:t>
      </w:r>
      <w:r>
        <w:rPr>
          <w:rFonts w:ascii="仿宋_GB2312" w:eastAsia="仿宋_GB2312" w:hAnsi="仿宋_GB2312" w:cs="仿宋_GB2312" w:hint="eastAsia"/>
          <w:kern w:val="2"/>
          <w:sz w:val="32"/>
          <w:szCs w:val="32"/>
        </w:rPr>
        <w:t>进行全程金融级安全保障，定期出具对账数据。配合</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发放和使用的咨询及投诉，配合监督管理部门开展相应的监督、绩效评价及审计等工作。</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五、其他说明</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（一）严禁商户和个人以不正当手段套取</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，禁止将</w:t>
      </w:r>
      <w:r>
        <w:rPr>
          <w:rFonts w:ascii="仿宋_GB2312" w:eastAsia="仿宋_GB2312" w:hAnsi="仿宋_GB2312" w:cs="仿宋_GB2312" w:hint="eastAsia"/>
          <w:kern w:val="2"/>
          <w:sz w:val="32"/>
          <w:szCs w:val="32"/>
        </w:rPr>
        <w:t>家电</w:t>
      </w:r>
      <w:r>
        <w:rPr>
          <w:rFonts w:ascii="仿宋_GB2312" w:eastAsia="仿宋_GB2312" w:hAnsi="仿宋_GB2312" w:cs="仿宋_GB2312" w:hint="eastAsia"/>
          <w:kern w:val="2"/>
          <w:sz w:val="32"/>
          <w:szCs w:val="32"/>
        </w:rPr>
        <w:t>以旧换新</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用作其他用途。如查实，相关部门将依法追究责任。参与活动即视为理解并同意本活动细则。</w:t>
      </w:r>
    </w:p>
    <w:p w:rsidR="00432F5B" w:rsidRDefault="008F0F34">
      <w:pPr>
        <w:pStyle w:val="a8"/>
        <w:spacing w:before="0" w:beforeAutospacing="0" w:after="0" w:afterAutospacing="0" w:line="580" w:lineRule="exact"/>
        <w:ind w:firstLineChars="200" w:firstLine="640"/>
        <w:jc w:val="both"/>
        <w:rPr>
          <w:rStyle w:val="fontstyle31"/>
          <w:rFonts w:ascii="Calibri" w:eastAsia="宋体" w:hAnsi="Calibri" w:hint="default"/>
          <w:color w:val="auto"/>
          <w:sz w:val="24"/>
          <w:szCs w:val="24"/>
        </w:rPr>
      </w:pPr>
      <w:r>
        <w:rPr>
          <w:rFonts w:ascii="仿宋_GB2312" w:eastAsia="仿宋_GB2312" w:hAnsi="仿宋_GB2312" w:cs="仿宋_GB2312" w:hint="eastAsia"/>
          <w:kern w:val="2"/>
          <w:sz w:val="32"/>
          <w:szCs w:val="32"/>
        </w:rPr>
        <w:t>（二）</w:t>
      </w:r>
      <w:r>
        <w:rPr>
          <w:rFonts w:ascii="仿宋_GB2312" w:eastAsia="仿宋_GB2312" w:hAnsi="仿宋_GB2312" w:cs="仿宋_GB2312" w:hint="eastAsia"/>
          <w:sz w:val="32"/>
          <w:szCs w:val="32"/>
        </w:rPr>
        <w:t>惠讯云（山东）环保科技有限公司</w:t>
      </w:r>
      <w:r>
        <w:rPr>
          <w:rFonts w:ascii="仿宋_GB2312" w:eastAsia="仿宋_GB2312" w:hAnsi="仿宋_GB2312" w:cs="仿宋_GB2312" w:hint="eastAsia"/>
          <w:kern w:val="2"/>
          <w:sz w:val="32"/>
          <w:szCs w:val="32"/>
        </w:rPr>
        <w:t>对</w:t>
      </w:r>
      <w:r>
        <w:rPr>
          <w:rFonts w:ascii="仿宋_GB2312" w:eastAsia="仿宋_GB2312" w:hAnsi="仿宋_GB2312" w:cs="仿宋_GB2312" w:hint="eastAsia"/>
          <w:kern w:val="2"/>
          <w:sz w:val="32"/>
          <w:szCs w:val="32"/>
        </w:rPr>
        <w:t>消费券</w:t>
      </w:r>
      <w:r>
        <w:rPr>
          <w:rFonts w:ascii="仿宋_GB2312" w:eastAsia="仿宋_GB2312" w:hAnsi="仿宋_GB2312" w:cs="仿宋_GB2312" w:hint="eastAsia"/>
          <w:kern w:val="2"/>
          <w:sz w:val="32"/>
          <w:szCs w:val="32"/>
        </w:rPr>
        <w:t>核销</w:t>
      </w:r>
      <w:r>
        <w:rPr>
          <w:rFonts w:ascii="仿宋_GB2312" w:eastAsia="仿宋_GB2312" w:hAnsi="仿宋_GB2312" w:cs="仿宋_GB2312" w:hint="eastAsia"/>
          <w:kern w:val="2"/>
          <w:sz w:val="32"/>
          <w:szCs w:val="32"/>
        </w:rPr>
        <w:lastRenderedPageBreak/>
        <w:t>数据进行系统监控和人工监控，从数据端对违规交易行为进行监控，发现疑似套利商户立即向聊城市商务局进行汇报并停止其营销活动。经核查非黄牛套利后，可重新参与本次活动。</w:t>
      </w: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432F5B" w:rsidP="00C73AC6">
      <w:pPr>
        <w:pStyle w:val="3"/>
        <w:ind w:firstLine="420"/>
      </w:pPr>
    </w:p>
    <w:p w:rsidR="00432F5B" w:rsidRDefault="00432F5B"/>
    <w:p w:rsidR="00432F5B" w:rsidRDefault="008F0F34">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2024</w:t>
      </w:r>
      <w:r>
        <w:rPr>
          <w:rFonts w:ascii="方正小标宋简体" w:eastAsia="方正小标宋简体" w:hAnsi="方正小标宋简体" w:cs="方正小标宋简体" w:hint="eastAsia"/>
          <w:bCs/>
          <w:sz w:val="44"/>
          <w:szCs w:val="44"/>
        </w:rPr>
        <w:t>年聊城</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新能源汽车</w:t>
      </w:r>
      <w:r>
        <w:rPr>
          <w:rFonts w:ascii="方正小标宋简体" w:eastAsia="方正小标宋简体" w:hAnsi="方正小标宋简体" w:cs="方正小标宋简体" w:hint="eastAsia"/>
          <w:bCs/>
          <w:sz w:val="44"/>
          <w:szCs w:val="44"/>
        </w:rPr>
        <w:t>下乡补贴发放</w:t>
      </w:r>
    </w:p>
    <w:p w:rsidR="00432F5B" w:rsidRDefault="008F0F34">
      <w:pPr>
        <w:spacing w:line="580" w:lineRule="exact"/>
        <w:jc w:val="center"/>
        <w:rPr>
          <w:rFonts w:ascii="黑体" w:eastAsia="方正小标宋简体" w:hAnsi="黑体" w:cs="黑体"/>
          <w:bCs/>
          <w:sz w:val="32"/>
          <w:szCs w:val="32"/>
        </w:rPr>
      </w:pPr>
      <w:r>
        <w:rPr>
          <w:rFonts w:ascii="方正小标宋简体" w:eastAsia="方正小标宋简体" w:hAnsi="方正小标宋简体" w:cs="方正小标宋简体" w:hint="eastAsia"/>
          <w:bCs/>
          <w:sz w:val="44"/>
          <w:szCs w:val="44"/>
        </w:rPr>
        <w:t>活动方案</w:t>
      </w:r>
    </w:p>
    <w:p w:rsidR="00432F5B" w:rsidRDefault="00432F5B">
      <w:pPr>
        <w:spacing w:line="580" w:lineRule="exact"/>
        <w:ind w:firstLineChars="200" w:firstLine="640"/>
        <w:rPr>
          <w:rFonts w:ascii="仿宋_GB2312" w:eastAsia="仿宋_GB2312" w:hAnsi="仿宋_GB2312" w:cs="仿宋_GB2312"/>
          <w:sz w:val="32"/>
          <w:szCs w:val="32"/>
        </w:rPr>
      </w:pP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为贯彻落实中央、省促进新能源汽产业发展，推动新能源汽车下乡有关部署要求，根据《聊城市推动新能源汽车下乡实施方案》要求，进一步挖掘我市新能源汽车消费潜力，</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年，计划市县联动，开展新能源汽车下乡巡展活动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场次，共计发放消费补贴</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万元。为保障活动顺利开展，特</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，内容如下：</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一、活动内容</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（一）活动时间</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场次：东昌府区站</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，发放金额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场次：经开区站计划</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月中旬，发放金额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万元，根据实际情况调整。</w:t>
      </w:r>
    </w:p>
    <w:p w:rsidR="00432F5B" w:rsidRDefault="008F0F34">
      <w:pPr>
        <w:pStyle w:val="a9"/>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场次：共计发放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结合各县（市、区）、市属开发区实际情况，另行确定时间与金额。</w:t>
      </w:r>
    </w:p>
    <w:p w:rsidR="00432F5B" w:rsidRDefault="008F0F34">
      <w:pPr>
        <w:pStyle w:val="a9"/>
        <w:spacing w:after="0"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（二）活动预算</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次活动发放消费券共计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万元，从</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年市级促消费资金中</w:t>
      </w:r>
      <w:r>
        <w:rPr>
          <w:rFonts w:ascii="仿宋_GB2312" w:eastAsia="仿宋_GB2312" w:hAnsi="仿宋_GB2312" w:cs="仿宋_GB2312" w:hint="eastAsia"/>
          <w:sz w:val="32"/>
          <w:szCs w:val="32"/>
        </w:rPr>
        <w:t>支出。</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（三）参与范围</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消费券投放对象：活动现场</w:t>
      </w:r>
      <w:r>
        <w:rPr>
          <w:rFonts w:ascii="仿宋_GB2312" w:eastAsia="仿宋_GB2312" w:hAnsi="仿宋_GB2312" w:cs="仿宋_GB2312" w:hint="eastAsia"/>
          <w:sz w:val="32"/>
          <w:szCs w:val="32"/>
        </w:rPr>
        <w:t>新能源</w:t>
      </w:r>
      <w:r>
        <w:rPr>
          <w:rFonts w:ascii="仿宋_GB2312" w:eastAsia="仿宋_GB2312" w:hAnsi="仿宋_GB2312" w:cs="仿宋_GB2312" w:hint="eastAsia"/>
          <w:sz w:val="32"/>
          <w:szCs w:val="32"/>
        </w:rPr>
        <w:t>购车消费者。</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参加活动商家范围：</w:t>
      </w:r>
      <w:r>
        <w:rPr>
          <w:rFonts w:ascii="仿宋_GB2312" w:eastAsia="仿宋_GB2312" w:hAnsi="仿宋_GB2312" w:cs="仿宋_GB2312" w:hint="eastAsia"/>
          <w:sz w:val="32"/>
          <w:szCs w:val="32"/>
        </w:rPr>
        <w:t>各县（市、区）、市属开发区</w:t>
      </w:r>
      <w:r>
        <w:rPr>
          <w:rFonts w:ascii="仿宋_GB2312" w:eastAsia="仿宋_GB2312" w:hAnsi="仿宋_GB2312" w:cs="仿宋_GB2312" w:hint="eastAsia"/>
          <w:sz w:val="32"/>
          <w:szCs w:val="32"/>
        </w:rPr>
        <w:t>新能源汽车经销商</w:t>
      </w:r>
      <w:r>
        <w:rPr>
          <w:rFonts w:ascii="仿宋_GB2312" w:eastAsia="仿宋_GB2312" w:hAnsi="仿宋_GB2312" w:cs="仿宋_GB2312" w:hint="eastAsia"/>
          <w:sz w:val="32"/>
          <w:szCs w:val="32"/>
        </w:rPr>
        <w:t>企业自愿报名、商务主管部门推荐方式进行，</w:t>
      </w:r>
      <w:r>
        <w:rPr>
          <w:rFonts w:ascii="仿宋_GB2312" w:eastAsia="仿宋_GB2312" w:hAnsi="仿宋_GB2312" w:cs="仿宋_GB2312" w:hint="eastAsia"/>
          <w:sz w:val="32"/>
          <w:szCs w:val="32"/>
        </w:rPr>
        <w:lastRenderedPageBreak/>
        <w:t>参与企业须为交易地发生在聊城</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处于正常经营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贡献大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消费者满意度高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无不良信用和交易风险等负面记录，且通过聊城市商务局资料审核、资格审查、公示等程序的新能源汽车销售企业。</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活动商品范围：在公</w:t>
      </w:r>
      <w:r>
        <w:rPr>
          <w:rFonts w:ascii="仿宋_GB2312" w:eastAsia="仿宋_GB2312" w:hAnsi="仿宋_GB2312" w:cs="仿宋_GB2312" w:hint="eastAsia"/>
          <w:sz w:val="32"/>
          <w:szCs w:val="32"/>
        </w:rPr>
        <w:t>示的聊城市限额以上新能源汽车销售单位销售的新能源汽车。</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（四）领取原则</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先领先得，</w:t>
      </w:r>
      <w:r>
        <w:rPr>
          <w:rFonts w:ascii="仿宋_GB2312" w:eastAsia="仿宋_GB2312" w:hAnsi="仿宋_GB2312" w:cs="仿宋_GB2312" w:hint="eastAsia"/>
          <w:sz w:val="32"/>
          <w:szCs w:val="32"/>
        </w:rPr>
        <w:t>领</w:t>
      </w:r>
      <w:r>
        <w:rPr>
          <w:rFonts w:ascii="仿宋_GB2312" w:eastAsia="仿宋_GB2312" w:hAnsi="仿宋_GB2312" w:cs="仿宋_GB2312" w:hint="eastAsia"/>
          <w:sz w:val="32"/>
          <w:szCs w:val="32"/>
        </w:rPr>
        <w:t>完为止，消费券不能重复申领。</w:t>
      </w:r>
      <w:r>
        <w:rPr>
          <w:rFonts w:ascii="仿宋_GB2312" w:eastAsia="仿宋_GB2312" w:hAnsi="仿宋_GB2312" w:cs="仿宋_GB2312" w:hint="eastAsia"/>
          <w:sz w:val="32"/>
          <w:szCs w:val="32"/>
        </w:rPr>
        <w:t xml:space="preserve"> </w:t>
      </w:r>
    </w:p>
    <w:p w:rsidR="00432F5B" w:rsidRDefault="008F0F34">
      <w:pPr>
        <w:spacing w:line="580" w:lineRule="exact"/>
        <w:ind w:firstLineChars="200" w:firstLine="640"/>
        <w:rPr>
          <w:rFonts w:ascii="仿宋" w:eastAsia="仿宋" w:hAnsi="仿宋"/>
          <w:color w:val="FF0000"/>
          <w:sz w:val="28"/>
          <w:szCs w:val="28"/>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首</w:t>
      </w:r>
      <w:r>
        <w:rPr>
          <w:rFonts w:ascii="仿宋_GB2312" w:eastAsia="仿宋_GB2312" w:hAnsi="仿宋_GB2312" w:cs="仿宋_GB2312" w:hint="eastAsia"/>
          <w:sz w:val="32"/>
          <w:szCs w:val="32"/>
        </w:rPr>
        <w:t>次活动财政补贴发完即止，活动结束后未使用部分视情况决定是否</w:t>
      </w:r>
      <w:r>
        <w:rPr>
          <w:rFonts w:ascii="仿宋_GB2312" w:eastAsia="仿宋_GB2312" w:hAnsi="仿宋_GB2312" w:cs="仿宋_GB2312" w:hint="eastAsia"/>
          <w:sz w:val="32"/>
          <w:szCs w:val="32"/>
        </w:rPr>
        <w:t>延续至下一场活动</w:t>
      </w:r>
      <w:r>
        <w:rPr>
          <w:rFonts w:ascii="仿宋_GB2312" w:eastAsia="仿宋_GB2312" w:hAnsi="仿宋_GB2312" w:cs="仿宋_GB2312" w:hint="eastAsia"/>
          <w:sz w:val="32"/>
          <w:szCs w:val="32"/>
        </w:rPr>
        <w:t>。</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二、活动规则</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（一）消费券种类及金额设定</w:t>
      </w:r>
    </w:p>
    <w:p w:rsidR="00432F5B" w:rsidRDefault="008F0F34">
      <w:pPr>
        <w:spacing w:line="580" w:lineRule="exact"/>
        <w:ind w:firstLineChars="200" w:firstLine="640"/>
        <w:rPr>
          <w:rFonts w:ascii="仿宋" w:eastAsia="仿宋" w:hAnsi="仿宋"/>
          <w:sz w:val="28"/>
          <w:szCs w:val="28"/>
        </w:rPr>
      </w:pPr>
      <w:r>
        <w:rPr>
          <w:rFonts w:ascii="仿宋_GB2312" w:eastAsia="仿宋_GB2312" w:hAnsi="仿宋_GB2312" w:cs="仿宋_GB2312" w:hint="eastAsia"/>
          <w:sz w:val="32"/>
          <w:szCs w:val="32"/>
        </w:rPr>
        <w:t>消费券面值为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活动期间，每辆新购买的新能源汽车补贴</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 w:eastAsia="仿宋" w:hAnsi="仿宋"/>
          <w:sz w:val="28"/>
          <w:szCs w:val="28"/>
        </w:rPr>
        <w:t xml:space="preserve"> </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（二）消费券发放计划</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w:t>
      </w:r>
      <w:r>
        <w:rPr>
          <w:rFonts w:ascii="仿宋_GB2312" w:eastAsia="仿宋_GB2312" w:hAnsi="仿宋_GB2312" w:cs="仿宋_GB2312" w:hint="eastAsia"/>
          <w:sz w:val="32"/>
          <w:szCs w:val="32"/>
        </w:rPr>
        <w:t>次消费券计划一次性发放：发放消费券资金</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万元，发放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元券</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本次消费券领取后五天内有效，以此类推。</w:t>
      </w:r>
    </w:p>
    <w:p w:rsidR="00432F5B" w:rsidRDefault="008F0F3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（三）消费券领取方式</w:t>
      </w:r>
    </w:p>
    <w:p w:rsidR="00432F5B" w:rsidRDefault="008F0F34">
      <w:pPr>
        <w:pStyle w:val="a8"/>
        <w:spacing w:before="0" w:beforeAutospacing="0" w:after="0" w:afterAutospacing="0" w:line="58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领券平台</w:t>
      </w:r>
    </w:p>
    <w:p w:rsidR="00432F5B" w:rsidRDefault="008F0F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“建行生活”</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为本次消费券活动领券平台入口。</w:t>
      </w:r>
      <w:r>
        <w:rPr>
          <w:rFonts w:ascii="仿宋_GB2312" w:eastAsia="仿宋_GB2312" w:hAnsi="仿宋_GB2312" w:cs="仿宋_GB2312" w:hint="eastAsia"/>
          <w:sz w:val="32"/>
          <w:szCs w:val="32"/>
        </w:rPr>
        <w:t>购车消费者</w:t>
      </w:r>
      <w:r>
        <w:rPr>
          <w:rFonts w:ascii="仿宋_GB2312" w:eastAsia="仿宋_GB2312" w:hAnsi="仿宋_GB2312" w:cs="仿宋_GB2312" w:hint="eastAsia"/>
          <w:sz w:val="32"/>
          <w:szCs w:val="32"/>
        </w:rPr>
        <w:t>可在各大应用商店下载“建行生活”</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，通过手机号注册登录。</w:t>
      </w:r>
    </w:p>
    <w:p w:rsidR="00432F5B" w:rsidRDefault="008F0F34">
      <w:pPr>
        <w:pStyle w:val="a8"/>
        <w:spacing w:before="0" w:beforeAutospacing="0" w:after="0" w:afterAutospacing="0" w:line="58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2. </w:t>
      </w:r>
      <w:r>
        <w:rPr>
          <w:rFonts w:ascii="仿宋_GB2312" w:eastAsia="仿宋_GB2312" w:hAnsi="仿宋_GB2312" w:cs="仿宋_GB2312" w:hint="eastAsia"/>
          <w:kern w:val="2"/>
          <w:sz w:val="32"/>
          <w:szCs w:val="32"/>
        </w:rPr>
        <w:t>领券方式</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在</w:t>
      </w:r>
      <w:r>
        <w:rPr>
          <w:rFonts w:ascii="仿宋_GB2312" w:eastAsia="仿宋_GB2312" w:hAnsi="仿宋_GB2312" w:cs="仿宋_GB2312" w:hint="eastAsia"/>
          <w:kern w:val="2"/>
          <w:sz w:val="32"/>
          <w:szCs w:val="32"/>
        </w:rPr>
        <w:t>展销会活动现场采取“面对面领券”方式</w:t>
      </w:r>
      <w:r>
        <w:rPr>
          <w:rFonts w:ascii="仿宋_GB2312" w:eastAsia="仿宋_GB2312" w:hAnsi="仿宋_GB2312" w:cs="仿宋_GB2312" w:hint="eastAsia"/>
          <w:kern w:val="2"/>
          <w:sz w:val="32"/>
          <w:szCs w:val="32"/>
        </w:rPr>
        <w:t>。领券成功后，申领人可在“建行生活”</w:t>
      </w:r>
      <w:r>
        <w:rPr>
          <w:rFonts w:ascii="仿宋_GB2312" w:eastAsia="仿宋_GB2312" w:hAnsi="仿宋_GB2312" w:cs="仿宋_GB2312" w:hint="eastAsia"/>
          <w:kern w:val="2"/>
          <w:sz w:val="32"/>
          <w:szCs w:val="32"/>
        </w:rPr>
        <w:t>APP</w:t>
      </w:r>
      <w:r>
        <w:rPr>
          <w:rFonts w:ascii="仿宋_GB2312" w:eastAsia="仿宋_GB2312" w:hAnsi="仿宋_GB2312" w:cs="仿宋_GB2312" w:hint="eastAsia"/>
          <w:kern w:val="2"/>
          <w:sz w:val="32"/>
          <w:szCs w:val="32"/>
        </w:rPr>
        <w:t>—“我的”—“票券”中查看消费券。</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领券规则</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同一用户可领取该优惠券一张。</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同一用户的认定标准为：符合同一设备、同一注册手机号、同一银行卡预留手机号、同一银行实体卡号、同一身份证号或同一</w:t>
      </w:r>
      <w:r>
        <w:rPr>
          <w:rFonts w:ascii="仿宋_GB2312" w:eastAsia="仿宋_GB2312" w:hAnsi="仿宋_GB2312" w:cs="仿宋_GB2312" w:hint="eastAsia"/>
          <w:kern w:val="2"/>
          <w:sz w:val="32"/>
          <w:szCs w:val="32"/>
        </w:rPr>
        <w:t>APP</w:t>
      </w:r>
      <w:r>
        <w:rPr>
          <w:rFonts w:ascii="仿宋_GB2312" w:eastAsia="仿宋_GB2312" w:hAnsi="仿宋_GB2312" w:cs="仿宋_GB2312" w:hint="eastAsia"/>
          <w:kern w:val="2"/>
          <w:sz w:val="32"/>
          <w:szCs w:val="32"/>
        </w:rPr>
        <w:t>账号等任一条件的，用户须使用本人的电子设备、</w:t>
      </w:r>
      <w:r>
        <w:rPr>
          <w:rFonts w:ascii="仿宋_GB2312" w:eastAsia="仿宋_GB2312" w:hAnsi="仿宋_GB2312" w:cs="仿宋_GB2312" w:hint="eastAsia"/>
          <w:kern w:val="2"/>
          <w:sz w:val="32"/>
          <w:szCs w:val="32"/>
        </w:rPr>
        <w:t>APP</w:t>
      </w:r>
      <w:r>
        <w:rPr>
          <w:rFonts w:ascii="仿宋_GB2312" w:eastAsia="仿宋_GB2312" w:hAnsi="仿宋_GB2312" w:cs="仿宋_GB2312" w:hint="eastAsia"/>
          <w:kern w:val="2"/>
          <w:sz w:val="32"/>
          <w:szCs w:val="32"/>
        </w:rPr>
        <w:t>账号、银行卡等亲自到店参加本活动。</w:t>
      </w:r>
    </w:p>
    <w:p w:rsidR="00432F5B" w:rsidRDefault="008F0F34">
      <w:pPr>
        <w:spacing w:line="58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（四）消费券核销</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消费者领券成功后，到</w:t>
      </w:r>
      <w:r>
        <w:rPr>
          <w:rFonts w:ascii="仿宋_GB2312" w:eastAsia="仿宋_GB2312" w:hAnsi="仿宋_GB2312" w:cs="仿宋_GB2312" w:hint="eastAsia"/>
          <w:kern w:val="2"/>
          <w:sz w:val="32"/>
          <w:szCs w:val="32"/>
        </w:rPr>
        <w:t>参加本次展销活动</w:t>
      </w:r>
      <w:r>
        <w:rPr>
          <w:rFonts w:ascii="仿宋_GB2312" w:eastAsia="仿宋_GB2312" w:hAnsi="仿宋_GB2312" w:cs="仿宋_GB2312" w:hint="eastAsia"/>
          <w:kern w:val="2"/>
          <w:sz w:val="32"/>
          <w:szCs w:val="32"/>
        </w:rPr>
        <w:t>的聊城市限额以上</w:t>
      </w:r>
      <w:r>
        <w:rPr>
          <w:rFonts w:ascii="仿宋_GB2312" w:eastAsia="仿宋_GB2312" w:hAnsi="仿宋_GB2312" w:cs="仿宋_GB2312" w:hint="eastAsia"/>
          <w:sz w:val="32"/>
          <w:szCs w:val="32"/>
        </w:rPr>
        <w:t>新能源汽车</w:t>
      </w:r>
      <w:r>
        <w:rPr>
          <w:rFonts w:ascii="仿宋_GB2312" w:eastAsia="仿宋_GB2312" w:hAnsi="仿宋_GB2312" w:cs="仿宋_GB2312" w:hint="eastAsia"/>
          <w:kern w:val="2"/>
          <w:sz w:val="32"/>
          <w:szCs w:val="32"/>
        </w:rPr>
        <w:t>销售单位购买</w:t>
      </w:r>
      <w:r>
        <w:rPr>
          <w:rFonts w:ascii="仿宋_GB2312" w:eastAsia="仿宋_GB2312" w:hAnsi="仿宋_GB2312" w:cs="仿宋_GB2312" w:hint="eastAsia"/>
          <w:sz w:val="32"/>
          <w:szCs w:val="32"/>
        </w:rPr>
        <w:t>新能源汽车</w:t>
      </w:r>
      <w:r>
        <w:rPr>
          <w:rFonts w:ascii="仿宋_GB2312" w:eastAsia="仿宋_GB2312" w:hAnsi="仿宋_GB2312" w:cs="仿宋_GB2312" w:hint="eastAsia"/>
          <w:kern w:val="2"/>
          <w:sz w:val="32"/>
          <w:szCs w:val="32"/>
        </w:rPr>
        <w:t>时使用“建行生活”</w:t>
      </w:r>
      <w:r>
        <w:rPr>
          <w:rFonts w:ascii="仿宋_GB2312" w:eastAsia="仿宋_GB2312" w:hAnsi="仿宋_GB2312" w:cs="仿宋_GB2312" w:hint="eastAsia"/>
          <w:kern w:val="2"/>
          <w:sz w:val="32"/>
          <w:szCs w:val="32"/>
        </w:rPr>
        <w:t>APP</w:t>
      </w:r>
      <w:r>
        <w:rPr>
          <w:rFonts w:ascii="仿宋_GB2312" w:eastAsia="仿宋_GB2312" w:hAnsi="仿宋_GB2312" w:cs="仿宋_GB2312" w:hint="eastAsia"/>
          <w:kern w:val="2"/>
          <w:sz w:val="32"/>
          <w:szCs w:val="32"/>
        </w:rPr>
        <w:t>买单核销，满足消费券使用金额部分，消费券自动生效，抵扣相应金额。</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消费券可按每单消费金额及用券标准使用对应面额消费券一张。</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本次发放的消费券，在有效期内使用的订单发生全额退款时，可再次使用，退款后的消费券有效期不变；如超出有效期或有效期内拆单退款、部分退款及撤销交易等，视为消费券已使用；消费券不可提现，不可参与违法活动。</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三、活动保障</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（一）客诉保障：</w:t>
      </w:r>
      <w:r>
        <w:rPr>
          <w:rFonts w:ascii="仿宋_GB2312" w:eastAsia="仿宋_GB2312" w:hAnsi="仿宋_GB2312" w:cs="仿宋_GB2312" w:hint="eastAsia"/>
          <w:kern w:val="2"/>
          <w:sz w:val="32"/>
          <w:szCs w:val="32"/>
        </w:rPr>
        <w:t>中国建设银行提供</w:t>
      </w: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24</w:t>
      </w:r>
      <w:r>
        <w:rPr>
          <w:rFonts w:ascii="仿宋_GB2312" w:eastAsia="仿宋_GB2312" w:hAnsi="仿宋_GB2312" w:cs="仿宋_GB2312" w:hint="eastAsia"/>
          <w:kern w:val="2"/>
          <w:sz w:val="32"/>
          <w:szCs w:val="32"/>
        </w:rPr>
        <w:t>小时专业客服电话，活动问题可拨打</w:t>
      </w:r>
      <w:r>
        <w:rPr>
          <w:rFonts w:ascii="仿宋_GB2312" w:eastAsia="仿宋_GB2312" w:hAnsi="仿宋_GB2312" w:cs="仿宋_GB2312" w:hint="eastAsia"/>
          <w:kern w:val="2"/>
          <w:sz w:val="32"/>
          <w:szCs w:val="32"/>
        </w:rPr>
        <w:t>95533</w:t>
      </w:r>
      <w:r>
        <w:rPr>
          <w:rFonts w:ascii="仿宋_GB2312" w:eastAsia="仿宋_GB2312" w:hAnsi="仿宋_GB2312" w:cs="仿宋_GB2312" w:hint="eastAsia"/>
          <w:kern w:val="2"/>
          <w:sz w:val="32"/>
          <w:szCs w:val="32"/>
        </w:rPr>
        <w:t>进行咨询。</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（二）人员保障：</w:t>
      </w:r>
      <w:r>
        <w:rPr>
          <w:rFonts w:ascii="仿宋_GB2312" w:eastAsia="仿宋_GB2312" w:hAnsi="仿宋_GB2312" w:cs="仿宋_GB2312" w:hint="eastAsia"/>
          <w:kern w:val="2"/>
          <w:sz w:val="32"/>
          <w:szCs w:val="32"/>
        </w:rPr>
        <w:t>中国建设银行聊城分行安排专门运营</w:t>
      </w:r>
      <w:r>
        <w:rPr>
          <w:rFonts w:ascii="仿宋_GB2312" w:eastAsia="仿宋_GB2312" w:hAnsi="仿宋_GB2312" w:cs="仿宋_GB2312" w:hint="eastAsia"/>
          <w:kern w:val="2"/>
          <w:sz w:val="32"/>
          <w:szCs w:val="32"/>
        </w:rPr>
        <w:lastRenderedPageBreak/>
        <w:t>队伍，负责在活动期间维护商户受理等问题，保障参与活动商户顺利参加本次活动。</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（三）数据保障：</w:t>
      </w:r>
      <w:r>
        <w:rPr>
          <w:rFonts w:ascii="仿宋_GB2312" w:eastAsia="仿宋_GB2312" w:hAnsi="仿宋_GB2312" w:cs="仿宋_GB2312" w:hint="eastAsia"/>
          <w:kern w:val="2"/>
          <w:sz w:val="32"/>
          <w:szCs w:val="32"/>
        </w:rPr>
        <w:t>活动结束后中国建设银行聊城分行向聊城市商务局提供脱敏消费券核销数据，并根据聊城市商务局需求对数据进行解释、说明等工作。</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四、活动组织</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（一）市商务局：</w:t>
      </w:r>
      <w:r>
        <w:rPr>
          <w:rFonts w:ascii="仿宋_GB2312" w:eastAsia="仿宋_GB2312" w:hAnsi="仿宋_GB2312" w:cs="仿宋_GB2312" w:hint="eastAsia"/>
          <w:kern w:val="2"/>
          <w:sz w:val="32"/>
          <w:szCs w:val="32"/>
        </w:rPr>
        <w:t>牵头负责消费券发放组织工作，引导相关企业、商家积极参与相关活动。</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（二）市财政局：</w:t>
      </w:r>
      <w:r>
        <w:rPr>
          <w:rFonts w:ascii="仿宋_GB2312" w:eastAsia="仿宋_GB2312" w:hAnsi="仿宋_GB2312" w:cs="仿宋_GB2312" w:hint="eastAsia"/>
          <w:kern w:val="2"/>
          <w:sz w:val="32"/>
          <w:szCs w:val="32"/>
        </w:rPr>
        <w:t>负责做好消费券所需资金的筹措，并按规定程序及时拨付资金。</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（三）中国建设银行聊城分行：</w:t>
      </w:r>
      <w:r>
        <w:rPr>
          <w:rFonts w:ascii="仿宋_GB2312" w:eastAsia="仿宋_GB2312" w:hAnsi="仿宋_GB2312" w:cs="仿宋_GB2312" w:hint="eastAsia"/>
          <w:kern w:val="2"/>
          <w:sz w:val="32"/>
          <w:szCs w:val="32"/>
        </w:rPr>
        <w:t>负责消费</w:t>
      </w:r>
      <w:r>
        <w:rPr>
          <w:rFonts w:ascii="仿宋_GB2312" w:eastAsia="仿宋_GB2312" w:hAnsi="仿宋_GB2312" w:cs="仿宋_GB2312" w:hint="eastAsia"/>
          <w:kern w:val="2"/>
          <w:sz w:val="32"/>
          <w:szCs w:val="32"/>
        </w:rPr>
        <w:t>补贴</w:t>
      </w:r>
      <w:r>
        <w:rPr>
          <w:rFonts w:ascii="仿宋_GB2312" w:eastAsia="仿宋_GB2312" w:hAnsi="仿宋_GB2312" w:cs="仿宋_GB2312" w:hint="eastAsia"/>
          <w:kern w:val="2"/>
          <w:sz w:val="32"/>
          <w:szCs w:val="32"/>
        </w:rPr>
        <w:t>的投放、</w:t>
      </w:r>
      <w:r>
        <w:rPr>
          <w:rFonts w:ascii="仿宋_GB2312" w:eastAsia="仿宋_GB2312" w:hAnsi="仿宋_GB2312" w:cs="仿宋_GB2312" w:hint="eastAsia"/>
          <w:color w:val="000000"/>
          <w:kern w:val="2"/>
          <w:sz w:val="32"/>
          <w:szCs w:val="32"/>
        </w:rPr>
        <w:t>在建设银行聊城分行自有渠道的宣传推广等工作，并</w:t>
      </w:r>
      <w:r>
        <w:rPr>
          <w:rFonts w:ascii="仿宋_GB2312" w:eastAsia="仿宋_GB2312" w:hAnsi="仿宋_GB2312" w:cs="仿宋_GB2312" w:hint="eastAsia"/>
          <w:kern w:val="2"/>
          <w:sz w:val="32"/>
          <w:szCs w:val="32"/>
        </w:rPr>
        <w:t>进行全程金融级安全保障，定期出具对账数据。配合消费券发放和使用的咨询及投诉，配合监督管理部门开展相应的监督、绩效评价及审计等工作。</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rPr>
        <w:t>（四）各县（市、区）、市属开发区商务主管部门：</w:t>
      </w:r>
      <w:r>
        <w:rPr>
          <w:rFonts w:ascii="仿宋_GB2312" w:eastAsia="仿宋_GB2312" w:hAnsi="仿宋_GB2312" w:cs="仿宋_GB2312" w:hint="eastAsia"/>
          <w:kern w:val="2"/>
          <w:sz w:val="32"/>
          <w:szCs w:val="32"/>
        </w:rPr>
        <w:t>负责参与商家的资质审核、筛选、提报等工作；应对辖区消费券投诉有关问题。</w:t>
      </w:r>
    </w:p>
    <w:p w:rsidR="00432F5B" w:rsidRDefault="008F0F34">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五、其他说明</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（一）严禁商户和个人以不正当手段套取消费券利益，禁止将行业消费券用作其他用途。如查实，相关部门将依法追究责任。参与活动即视为理解并同意本活动细则。</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w:t>
      </w:r>
      <w:r>
        <w:rPr>
          <w:rFonts w:ascii="仿宋_GB2312" w:eastAsia="仿宋_GB2312" w:hAnsi="仿宋_GB2312" w:cs="仿宋_GB2312" w:hint="eastAsia"/>
          <w:kern w:val="2"/>
          <w:sz w:val="32"/>
          <w:szCs w:val="32"/>
        </w:rPr>
        <w:t>中国建设银行聊城分行从建行平台对优惠核销数据进行系统监控和人工监控，从数据端对违规交易行为进行</w:t>
      </w:r>
      <w:r>
        <w:rPr>
          <w:rFonts w:ascii="仿宋_GB2312" w:eastAsia="仿宋_GB2312" w:hAnsi="仿宋_GB2312" w:cs="仿宋_GB2312" w:hint="eastAsia"/>
          <w:kern w:val="2"/>
          <w:sz w:val="32"/>
          <w:szCs w:val="32"/>
        </w:rPr>
        <w:lastRenderedPageBreak/>
        <w:t>监控，发现疑似套利商户立即向聊城市商务局进行汇报并停止其营销活动。经核查非黄牛套利后，可重新参与本次活动。</w:t>
      </w:r>
    </w:p>
    <w:p w:rsidR="00432F5B" w:rsidRDefault="008F0F34">
      <w:pPr>
        <w:pStyle w:val="a8"/>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（三）市民参与抢券后，视同全部接受本次活动的相关规则。</w:t>
      </w:r>
    </w:p>
    <w:p w:rsidR="00432F5B" w:rsidRDefault="008F0F34" w:rsidP="00432F5B">
      <w:pPr>
        <w:pStyle w:val="3"/>
        <w:ind w:firstLine="640"/>
      </w:pPr>
      <w:bookmarkStart w:id="0" w:name="_GoBack"/>
      <w:r>
        <w:rPr>
          <w:rFonts w:ascii="仿宋_GB2312" w:eastAsia="仿宋_GB2312" w:hAnsi="仿宋_GB2312" w:cs="仿宋_GB2312" w:hint="eastAsia"/>
          <w:sz w:val="32"/>
          <w:szCs w:val="32"/>
        </w:rPr>
        <w:t>（四）以上规则仅针对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聊城</w:t>
      </w:r>
      <w:r>
        <w:rPr>
          <w:rFonts w:ascii="仿宋_GB2312" w:eastAsia="仿宋_GB2312" w:hAnsi="仿宋_GB2312" w:cs="仿宋_GB2312" w:hint="eastAsia"/>
          <w:sz w:val="32"/>
          <w:szCs w:val="32"/>
        </w:rPr>
        <w:t>新能源汽车</w:t>
      </w:r>
      <w:r>
        <w:rPr>
          <w:rFonts w:ascii="仿宋_GB2312" w:eastAsia="仿宋_GB2312" w:hAnsi="仿宋_GB2312" w:cs="仿宋_GB2312" w:hint="eastAsia"/>
          <w:sz w:val="32"/>
          <w:szCs w:val="32"/>
        </w:rPr>
        <w:t>下乡消费补贴发放活动</w:t>
      </w:r>
      <w:r>
        <w:rPr>
          <w:rFonts w:ascii="仿宋_GB2312" w:eastAsia="仿宋_GB2312" w:hAnsi="仿宋_GB2312" w:cs="仿宋_GB2312" w:hint="eastAsia"/>
          <w:sz w:val="32"/>
          <w:szCs w:val="32"/>
        </w:rPr>
        <w:t>。</w:t>
      </w:r>
      <w:bookmarkEnd w:id="0"/>
    </w:p>
    <w:sectPr w:rsidR="00432F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34" w:rsidRDefault="008F0F34">
      <w:r>
        <w:separator/>
      </w:r>
    </w:p>
  </w:endnote>
  <w:endnote w:type="continuationSeparator" w:id="0">
    <w:p w:rsidR="008F0F34" w:rsidRDefault="008F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华文仿宋"/>
    <w:charset w:val="86"/>
    <w:family w:val="auto"/>
    <w:pitch w:val="default"/>
    <w:sig w:usb0="00000000" w:usb1="00000000" w:usb2="00000016" w:usb3="00000000" w:csb0="0004000F" w:csb1="00000000"/>
  </w:font>
  <w:font w:name="等线 Light">
    <w:altName w:val="华文仿宋"/>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FZXBSJW--GB1-0">
    <w:altName w:val="Times New Roman"/>
    <w:charset w:val="00"/>
    <w:family w:val="roman"/>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Microsoft YaHei UI">
    <w:altName w:val="Droid Sans Fallback"/>
    <w:charset w:val="86"/>
    <w:family w:val="swiss"/>
    <w:pitch w:val="default"/>
    <w:sig w:usb0="00000000" w:usb1="00000000" w:usb2="00000016" w:usb3="00000000" w:csb0="0004001F" w:csb1="00000000"/>
  </w:font>
  <w:font w:name="楷体">
    <w:altName w:val="方正楷体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5B" w:rsidRDefault="008F0F3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F5B" w:rsidRDefault="008F0F34">
                          <w:pPr>
                            <w:pStyle w:val="a4"/>
                          </w:pPr>
                          <w:r>
                            <w:fldChar w:fldCharType="begin"/>
                          </w:r>
                          <w:r>
                            <w:instrText xml:space="preserve"> PAGE  \* MERGEFORMAT </w:instrText>
                          </w:r>
                          <w:r>
                            <w:fldChar w:fldCharType="separate"/>
                          </w:r>
                          <w:r w:rsidR="00C73AC6">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2F5B" w:rsidRDefault="008F0F34">
                    <w:pPr>
                      <w:pStyle w:val="a4"/>
                    </w:pPr>
                    <w:r>
                      <w:fldChar w:fldCharType="begin"/>
                    </w:r>
                    <w:r>
                      <w:instrText xml:space="preserve"> PAGE  \* MERGEFORMAT </w:instrText>
                    </w:r>
                    <w:r>
                      <w:fldChar w:fldCharType="separate"/>
                    </w:r>
                    <w:r w:rsidR="00C73AC6">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34" w:rsidRDefault="008F0F34">
      <w:r>
        <w:separator/>
      </w:r>
    </w:p>
  </w:footnote>
  <w:footnote w:type="continuationSeparator" w:id="0">
    <w:p w:rsidR="008F0F34" w:rsidRDefault="008F0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ZjNkYzcwZGYzNmY5NGRiODlkMzJmYWJhNThkZTQifQ=="/>
  </w:docVars>
  <w:rsids>
    <w:rsidRoot w:val="006724CA"/>
    <w:rsid w:val="FED77931"/>
    <w:rsid w:val="FEDF0EB9"/>
    <w:rsid w:val="FEF7B789"/>
    <w:rsid w:val="FEFF837F"/>
    <w:rsid w:val="FEFFE0E7"/>
    <w:rsid w:val="FF67F3B1"/>
    <w:rsid w:val="FF75F232"/>
    <w:rsid w:val="FF7FC425"/>
    <w:rsid w:val="FF8F011B"/>
    <w:rsid w:val="FF8F6DFB"/>
    <w:rsid w:val="FF9B14C2"/>
    <w:rsid w:val="FF9D235F"/>
    <w:rsid w:val="FFCF617E"/>
    <w:rsid w:val="FFCF6CE8"/>
    <w:rsid w:val="FFDF9BB6"/>
    <w:rsid w:val="FFE572B2"/>
    <w:rsid w:val="FFEB674D"/>
    <w:rsid w:val="FFEF82D7"/>
    <w:rsid w:val="FFFBF6D7"/>
    <w:rsid w:val="FFFC044E"/>
    <w:rsid w:val="FFFC29F7"/>
    <w:rsid w:val="FFFD3658"/>
    <w:rsid w:val="FFFD70C3"/>
    <w:rsid w:val="FFFDE324"/>
    <w:rsid w:val="FFFED41E"/>
    <w:rsid w:val="FFFF86CD"/>
    <w:rsid w:val="FFFF9789"/>
    <w:rsid w:val="00026EE1"/>
    <w:rsid w:val="00226F65"/>
    <w:rsid w:val="00432F5B"/>
    <w:rsid w:val="006724CA"/>
    <w:rsid w:val="008F0F34"/>
    <w:rsid w:val="00B82867"/>
    <w:rsid w:val="00C73AC6"/>
    <w:rsid w:val="00CD7FD9"/>
    <w:rsid w:val="00E85F23"/>
    <w:rsid w:val="00EF608D"/>
    <w:rsid w:val="00F83D61"/>
    <w:rsid w:val="01ED2589"/>
    <w:rsid w:val="063C7690"/>
    <w:rsid w:val="0EFFEE39"/>
    <w:rsid w:val="0FEBAD8D"/>
    <w:rsid w:val="13363472"/>
    <w:rsid w:val="14EF4C7F"/>
    <w:rsid w:val="179E3CC3"/>
    <w:rsid w:val="17EBFB2D"/>
    <w:rsid w:val="17FDFA77"/>
    <w:rsid w:val="17FEAFF9"/>
    <w:rsid w:val="1DF3C929"/>
    <w:rsid w:val="1E7F0507"/>
    <w:rsid w:val="1EFF1560"/>
    <w:rsid w:val="1FBAB06C"/>
    <w:rsid w:val="279E30C9"/>
    <w:rsid w:val="27BF0797"/>
    <w:rsid w:val="28B9856C"/>
    <w:rsid w:val="2BAC678E"/>
    <w:rsid w:val="2BB37175"/>
    <w:rsid w:val="2CFBE39B"/>
    <w:rsid w:val="2DD703ED"/>
    <w:rsid w:val="2F7CA3A2"/>
    <w:rsid w:val="2FD64B18"/>
    <w:rsid w:val="2FEB09D1"/>
    <w:rsid w:val="2FEFF308"/>
    <w:rsid w:val="2FFBFFF9"/>
    <w:rsid w:val="30A18B1A"/>
    <w:rsid w:val="32FFB0C9"/>
    <w:rsid w:val="36D39C5C"/>
    <w:rsid w:val="3710EA71"/>
    <w:rsid w:val="375FC126"/>
    <w:rsid w:val="377C6CCC"/>
    <w:rsid w:val="377FFAEF"/>
    <w:rsid w:val="37AAF893"/>
    <w:rsid w:val="37C6E7D1"/>
    <w:rsid w:val="37DC3995"/>
    <w:rsid w:val="37EE23C2"/>
    <w:rsid w:val="3B7C5D94"/>
    <w:rsid w:val="3BB75F09"/>
    <w:rsid w:val="3BCE4AED"/>
    <w:rsid w:val="3BDA2AE6"/>
    <w:rsid w:val="3BF4A359"/>
    <w:rsid w:val="3BF5C209"/>
    <w:rsid w:val="3BFFDBF4"/>
    <w:rsid w:val="3CD53B81"/>
    <w:rsid w:val="3CDF4788"/>
    <w:rsid w:val="3D9FFB4F"/>
    <w:rsid w:val="3DFACAA2"/>
    <w:rsid w:val="3E7B02AB"/>
    <w:rsid w:val="3F10F7EE"/>
    <w:rsid w:val="3F59D5FC"/>
    <w:rsid w:val="3FB542AE"/>
    <w:rsid w:val="3FBA7A86"/>
    <w:rsid w:val="3FBF143B"/>
    <w:rsid w:val="3FCBE345"/>
    <w:rsid w:val="3FD57E5E"/>
    <w:rsid w:val="3FDEC450"/>
    <w:rsid w:val="3FDF2D6A"/>
    <w:rsid w:val="3FF6549A"/>
    <w:rsid w:val="3FFB6432"/>
    <w:rsid w:val="423DF628"/>
    <w:rsid w:val="47BA5E9E"/>
    <w:rsid w:val="4D5EC314"/>
    <w:rsid w:val="4D6F597B"/>
    <w:rsid w:val="4D7FA4DA"/>
    <w:rsid w:val="4DAC95C0"/>
    <w:rsid w:val="4F0B4C6C"/>
    <w:rsid w:val="4F4A72FE"/>
    <w:rsid w:val="4FBF6C46"/>
    <w:rsid w:val="4FFF91D8"/>
    <w:rsid w:val="51F76F29"/>
    <w:rsid w:val="52F72021"/>
    <w:rsid w:val="549FE92D"/>
    <w:rsid w:val="557F998D"/>
    <w:rsid w:val="557F9AC3"/>
    <w:rsid w:val="565F709C"/>
    <w:rsid w:val="56ED979C"/>
    <w:rsid w:val="577597B6"/>
    <w:rsid w:val="57FF669A"/>
    <w:rsid w:val="58F746A9"/>
    <w:rsid w:val="5AFC3668"/>
    <w:rsid w:val="5BAF84C2"/>
    <w:rsid w:val="5BE58724"/>
    <w:rsid w:val="5BFF7A18"/>
    <w:rsid w:val="5CDEBBCD"/>
    <w:rsid w:val="5CF5AE05"/>
    <w:rsid w:val="5D7EA3A0"/>
    <w:rsid w:val="5DAF6118"/>
    <w:rsid w:val="5DFA1E0B"/>
    <w:rsid w:val="5EAF5C25"/>
    <w:rsid w:val="5EDC64F5"/>
    <w:rsid w:val="5EFF87EC"/>
    <w:rsid w:val="5FBD6565"/>
    <w:rsid w:val="5FBEB9F0"/>
    <w:rsid w:val="5FE72117"/>
    <w:rsid w:val="5FFF4D76"/>
    <w:rsid w:val="601B50B8"/>
    <w:rsid w:val="6337B44A"/>
    <w:rsid w:val="65FF3B94"/>
    <w:rsid w:val="6647DD13"/>
    <w:rsid w:val="66DF4CDF"/>
    <w:rsid w:val="66ED501D"/>
    <w:rsid w:val="66FE8F78"/>
    <w:rsid w:val="67BA7112"/>
    <w:rsid w:val="67CA6D4C"/>
    <w:rsid w:val="67CC8502"/>
    <w:rsid w:val="67CFBBDE"/>
    <w:rsid w:val="67D478DA"/>
    <w:rsid w:val="67FFC11A"/>
    <w:rsid w:val="6A47ED44"/>
    <w:rsid w:val="6BDE5F98"/>
    <w:rsid w:val="6BFD0019"/>
    <w:rsid w:val="6BFDC87B"/>
    <w:rsid w:val="6BFDF891"/>
    <w:rsid w:val="6C6F4746"/>
    <w:rsid w:val="6CF30CF8"/>
    <w:rsid w:val="6CFC819E"/>
    <w:rsid w:val="6D7FB285"/>
    <w:rsid w:val="6DB41785"/>
    <w:rsid w:val="6DF36DC2"/>
    <w:rsid w:val="6DF7DD95"/>
    <w:rsid w:val="6DF9F7CC"/>
    <w:rsid w:val="6DFF8907"/>
    <w:rsid w:val="6E6DDCAA"/>
    <w:rsid w:val="6E7E8A48"/>
    <w:rsid w:val="6EAF7229"/>
    <w:rsid w:val="6EF86E34"/>
    <w:rsid w:val="6F3F7AA8"/>
    <w:rsid w:val="6F4E15D7"/>
    <w:rsid w:val="6F77A58B"/>
    <w:rsid w:val="6F7DB319"/>
    <w:rsid w:val="6FA4F454"/>
    <w:rsid w:val="6FB467B2"/>
    <w:rsid w:val="6FC0D342"/>
    <w:rsid w:val="6FD7CA26"/>
    <w:rsid w:val="6FDB6E1D"/>
    <w:rsid w:val="6FDDA133"/>
    <w:rsid w:val="6FDF22AD"/>
    <w:rsid w:val="6FEB1E6E"/>
    <w:rsid w:val="6FF169F4"/>
    <w:rsid w:val="6FF5981F"/>
    <w:rsid w:val="715F87DF"/>
    <w:rsid w:val="719FF888"/>
    <w:rsid w:val="725B0CB4"/>
    <w:rsid w:val="72FB2575"/>
    <w:rsid w:val="73BF5547"/>
    <w:rsid w:val="73FA4ABF"/>
    <w:rsid w:val="753C20FE"/>
    <w:rsid w:val="75D9DE90"/>
    <w:rsid w:val="75E7B239"/>
    <w:rsid w:val="75FEE5B7"/>
    <w:rsid w:val="76BBE623"/>
    <w:rsid w:val="76BFA4B3"/>
    <w:rsid w:val="76EEEC60"/>
    <w:rsid w:val="773FDD41"/>
    <w:rsid w:val="77BA993C"/>
    <w:rsid w:val="77BE09ED"/>
    <w:rsid w:val="77CD4643"/>
    <w:rsid w:val="77D72210"/>
    <w:rsid w:val="77E88DA6"/>
    <w:rsid w:val="77EF419E"/>
    <w:rsid w:val="77FF5B8B"/>
    <w:rsid w:val="78A77EC0"/>
    <w:rsid w:val="7963BF44"/>
    <w:rsid w:val="796FB70F"/>
    <w:rsid w:val="79769734"/>
    <w:rsid w:val="79B783D3"/>
    <w:rsid w:val="79DF6E88"/>
    <w:rsid w:val="79DFACD4"/>
    <w:rsid w:val="79E92BF9"/>
    <w:rsid w:val="79FB35C3"/>
    <w:rsid w:val="79FF2FF0"/>
    <w:rsid w:val="7A9F6875"/>
    <w:rsid w:val="7B4F4933"/>
    <w:rsid w:val="7B5B6FBF"/>
    <w:rsid w:val="7BE7D527"/>
    <w:rsid w:val="7BEF69D3"/>
    <w:rsid w:val="7BFBE306"/>
    <w:rsid w:val="7CDD984A"/>
    <w:rsid w:val="7CF92265"/>
    <w:rsid w:val="7CFEC8C6"/>
    <w:rsid w:val="7D3ED030"/>
    <w:rsid w:val="7D3EF4D6"/>
    <w:rsid w:val="7D771561"/>
    <w:rsid w:val="7D7F1BC7"/>
    <w:rsid w:val="7DAF7DF4"/>
    <w:rsid w:val="7DBB15D9"/>
    <w:rsid w:val="7DBB62BC"/>
    <w:rsid w:val="7DBDD3A8"/>
    <w:rsid w:val="7DBF9AB2"/>
    <w:rsid w:val="7DBFF965"/>
    <w:rsid w:val="7DCAB6AC"/>
    <w:rsid w:val="7DDE27D1"/>
    <w:rsid w:val="7DEFA1E5"/>
    <w:rsid w:val="7DFB5DA2"/>
    <w:rsid w:val="7DFD5AC9"/>
    <w:rsid w:val="7DFE456C"/>
    <w:rsid w:val="7DFFBB13"/>
    <w:rsid w:val="7E3754B4"/>
    <w:rsid w:val="7E53454C"/>
    <w:rsid w:val="7E78979A"/>
    <w:rsid w:val="7E7C8BE9"/>
    <w:rsid w:val="7E7D5EC3"/>
    <w:rsid w:val="7EB9AF47"/>
    <w:rsid w:val="7EBBFBC3"/>
    <w:rsid w:val="7EBF7694"/>
    <w:rsid w:val="7EC6C6F5"/>
    <w:rsid w:val="7EF586FD"/>
    <w:rsid w:val="7EFD1C34"/>
    <w:rsid w:val="7EFF503C"/>
    <w:rsid w:val="7EFFAB44"/>
    <w:rsid w:val="7EFFB34F"/>
    <w:rsid w:val="7F2CDEF0"/>
    <w:rsid w:val="7F3C05E2"/>
    <w:rsid w:val="7F5FF476"/>
    <w:rsid w:val="7F624127"/>
    <w:rsid w:val="7F6799AA"/>
    <w:rsid w:val="7F6AAB5D"/>
    <w:rsid w:val="7F77B7C7"/>
    <w:rsid w:val="7F77E141"/>
    <w:rsid w:val="7F7E03E7"/>
    <w:rsid w:val="7F7E7505"/>
    <w:rsid w:val="7F7F3E3F"/>
    <w:rsid w:val="7F9B8A3A"/>
    <w:rsid w:val="7F9F5DBF"/>
    <w:rsid w:val="7FAB5908"/>
    <w:rsid w:val="7FAF69D6"/>
    <w:rsid w:val="7FB31DB5"/>
    <w:rsid w:val="7FB5B746"/>
    <w:rsid w:val="7FB95A36"/>
    <w:rsid w:val="7FBB981D"/>
    <w:rsid w:val="7FBC7546"/>
    <w:rsid w:val="7FBE04F9"/>
    <w:rsid w:val="7FBF127E"/>
    <w:rsid w:val="7FBFD0DA"/>
    <w:rsid w:val="7FDDD1AC"/>
    <w:rsid w:val="7FE7A5F6"/>
    <w:rsid w:val="7FED7D3A"/>
    <w:rsid w:val="7FEDBCA4"/>
    <w:rsid w:val="7FEDDF9A"/>
    <w:rsid w:val="7FFAA934"/>
    <w:rsid w:val="7FFB3E94"/>
    <w:rsid w:val="7FFBA507"/>
    <w:rsid w:val="7FFD1CB9"/>
    <w:rsid w:val="7FFD732C"/>
    <w:rsid w:val="7FFDA7E1"/>
    <w:rsid w:val="7FFF11C6"/>
    <w:rsid w:val="7FFFC5B0"/>
    <w:rsid w:val="7FFFE964"/>
    <w:rsid w:val="81D659BD"/>
    <w:rsid w:val="96FBA171"/>
    <w:rsid w:val="9BDB7526"/>
    <w:rsid w:val="9BFFC0D1"/>
    <w:rsid w:val="9EBDB2E3"/>
    <w:rsid w:val="9EDECB94"/>
    <w:rsid w:val="9F3F2C93"/>
    <w:rsid w:val="9FD63981"/>
    <w:rsid w:val="9FFFF0AB"/>
    <w:rsid w:val="A3E4D039"/>
    <w:rsid w:val="A6C5C57A"/>
    <w:rsid w:val="A739C191"/>
    <w:rsid w:val="AAF740B9"/>
    <w:rsid w:val="ABFEFD10"/>
    <w:rsid w:val="AD7FA733"/>
    <w:rsid w:val="ADBF6889"/>
    <w:rsid w:val="ADEF6ABC"/>
    <w:rsid w:val="AF6FCE51"/>
    <w:rsid w:val="AFEAF5B4"/>
    <w:rsid w:val="B5EFCF2B"/>
    <w:rsid w:val="B9BFD599"/>
    <w:rsid w:val="B9FD90CA"/>
    <w:rsid w:val="BA1F6E5D"/>
    <w:rsid w:val="BA7B23C6"/>
    <w:rsid w:val="BABE6106"/>
    <w:rsid w:val="BB3C613E"/>
    <w:rsid w:val="BB4F1078"/>
    <w:rsid w:val="BB771BC6"/>
    <w:rsid w:val="BBFE46A3"/>
    <w:rsid w:val="BBFF78B4"/>
    <w:rsid w:val="BBFF9702"/>
    <w:rsid w:val="BDDFE413"/>
    <w:rsid w:val="BDEF8329"/>
    <w:rsid w:val="BDFBDF10"/>
    <w:rsid w:val="BDFE4A13"/>
    <w:rsid w:val="BDFF1E10"/>
    <w:rsid w:val="BEF73C4D"/>
    <w:rsid w:val="BEF7CE1D"/>
    <w:rsid w:val="BF73A6B1"/>
    <w:rsid w:val="BF7993D4"/>
    <w:rsid w:val="BF7D2CE0"/>
    <w:rsid w:val="BF7F7C12"/>
    <w:rsid w:val="BF8B1C5A"/>
    <w:rsid w:val="BF9D7B88"/>
    <w:rsid w:val="BFA72A26"/>
    <w:rsid w:val="BFAFF8A9"/>
    <w:rsid w:val="BFE4E4E5"/>
    <w:rsid w:val="BFE60ACC"/>
    <w:rsid w:val="BFF73410"/>
    <w:rsid w:val="BFFF5BE6"/>
    <w:rsid w:val="BFFF69AB"/>
    <w:rsid w:val="BFFFD18D"/>
    <w:rsid w:val="C3F785FB"/>
    <w:rsid w:val="C5BB05E9"/>
    <w:rsid w:val="CB36DB1F"/>
    <w:rsid w:val="CBEFD45B"/>
    <w:rsid w:val="CBFCCA72"/>
    <w:rsid w:val="CCFFDE7D"/>
    <w:rsid w:val="CEBBD9C9"/>
    <w:rsid w:val="CEE33DC2"/>
    <w:rsid w:val="CF1E1B03"/>
    <w:rsid w:val="CF378D32"/>
    <w:rsid w:val="CF74522A"/>
    <w:rsid w:val="CFBE0F13"/>
    <w:rsid w:val="CFDF239E"/>
    <w:rsid w:val="CFE2BAE1"/>
    <w:rsid w:val="CFFA6EB7"/>
    <w:rsid w:val="D67EDC4B"/>
    <w:rsid w:val="D69F26E8"/>
    <w:rsid w:val="D6FDB16A"/>
    <w:rsid w:val="D77FEBA3"/>
    <w:rsid w:val="D7CF4AC9"/>
    <w:rsid w:val="D7D78811"/>
    <w:rsid w:val="D7F95023"/>
    <w:rsid w:val="DB67EC58"/>
    <w:rsid w:val="DBA7330D"/>
    <w:rsid w:val="DBBF22D4"/>
    <w:rsid w:val="DBEFDC02"/>
    <w:rsid w:val="DDBBA34E"/>
    <w:rsid w:val="DEAF533C"/>
    <w:rsid w:val="DEFAA107"/>
    <w:rsid w:val="DEFF8E5F"/>
    <w:rsid w:val="DEFFD196"/>
    <w:rsid w:val="DF335381"/>
    <w:rsid w:val="DF4EC1AD"/>
    <w:rsid w:val="DF5A9358"/>
    <w:rsid w:val="DF6F90AC"/>
    <w:rsid w:val="DF7F6CA1"/>
    <w:rsid w:val="DFB1EA59"/>
    <w:rsid w:val="DFDDED32"/>
    <w:rsid w:val="DFDF87C7"/>
    <w:rsid w:val="DFE66FCE"/>
    <w:rsid w:val="DFEF5FF0"/>
    <w:rsid w:val="DFF8897A"/>
    <w:rsid w:val="DFFE024C"/>
    <w:rsid w:val="DFFE0B9B"/>
    <w:rsid w:val="DFFF8FF0"/>
    <w:rsid w:val="E3724E88"/>
    <w:rsid w:val="E37BA5AB"/>
    <w:rsid w:val="E3EF1E96"/>
    <w:rsid w:val="E65C3213"/>
    <w:rsid w:val="E68F8F3F"/>
    <w:rsid w:val="E77B1F98"/>
    <w:rsid w:val="E7ED2719"/>
    <w:rsid w:val="E7EFFEB7"/>
    <w:rsid w:val="E97DD12E"/>
    <w:rsid w:val="E9B54071"/>
    <w:rsid w:val="EBC7A194"/>
    <w:rsid w:val="EBFFCF58"/>
    <w:rsid w:val="ED46C8B7"/>
    <w:rsid w:val="ED97335F"/>
    <w:rsid w:val="EDEC1A65"/>
    <w:rsid w:val="EDF98041"/>
    <w:rsid w:val="EE550AAB"/>
    <w:rsid w:val="EEEFB387"/>
    <w:rsid w:val="EF7332A1"/>
    <w:rsid w:val="EF7789D1"/>
    <w:rsid w:val="EFAE9F18"/>
    <w:rsid w:val="EFD0FDC2"/>
    <w:rsid w:val="EFDD9B1E"/>
    <w:rsid w:val="EFDEA42B"/>
    <w:rsid w:val="EFDEFA2C"/>
    <w:rsid w:val="EFDF15AD"/>
    <w:rsid w:val="F19EA01C"/>
    <w:rsid w:val="F277004D"/>
    <w:rsid w:val="F3758EF1"/>
    <w:rsid w:val="F3E75BCC"/>
    <w:rsid w:val="F57EBF5E"/>
    <w:rsid w:val="F5CF5F87"/>
    <w:rsid w:val="F6772B7F"/>
    <w:rsid w:val="F6F1CB69"/>
    <w:rsid w:val="F6FB13B2"/>
    <w:rsid w:val="F77BC414"/>
    <w:rsid w:val="F7BB0359"/>
    <w:rsid w:val="F7BE5BC0"/>
    <w:rsid w:val="F7FFA5D1"/>
    <w:rsid w:val="F98F259E"/>
    <w:rsid w:val="F9C3DEAC"/>
    <w:rsid w:val="F9F1D1AC"/>
    <w:rsid w:val="FB5F3EBC"/>
    <w:rsid w:val="FB7CFB5D"/>
    <w:rsid w:val="FB7E06E8"/>
    <w:rsid w:val="FB9F4F57"/>
    <w:rsid w:val="FBBE474A"/>
    <w:rsid w:val="FBDF3E60"/>
    <w:rsid w:val="FBF9A2AB"/>
    <w:rsid w:val="FBFCA07C"/>
    <w:rsid w:val="FBFDAA03"/>
    <w:rsid w:val="FBFE97E2"/>
    <w:rsid w:val="FBFEC06F"/>
    <w:rsid w:val="FBFF30DE"/>
    <w:rsid w:val="FBFFB380"/>
    <w:rsid w:val="FBFFD3B0"/>
    <w:rsid w:val="FBFFFBCC"/>
    <w:rsid w:val="FC4FCB20"/>
    <w:rsid w:val="FC5D1239"/>
    <w:rsid w:val="FD33B541"/>
    <w:rsid w:val="FD3B41AE"/>
    <w:rsid w:val="FD77B669"/>
    <w:rsid w:val="FDBD327A"/>
    <w:rsid w:val="FDBFFC3E"/>
    <w:rsid w:val="FDD774BF"/>
    <w:rsid w:val="FDEB0BC2"/>
    <w:rsid w:val="FDFDF62E"/>
    <w:rsid w:val="FDFF54D3"/>
    <w:rsid w:val="FE5F3867"/>
    <w:rsid w:val="FE71820D"/>
    <w:rsid w:val="FE7F03E9"/>
    <w:rsid w:val="FE7FF998"/>
    <w:rsid w:val="FEAF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qFormat="1"/>
    <w:lsdException w:name="Default Paragraph Font" w:semiHidden="1" w:uiPriority="1" w:unhideWhenUsed="1" w:qFormat="1"/>
    <w:lsdException w:name="Body Text" w:qFormat="1"/>
    <w:lsdException w:name="Subtitle" w:uiPriority="11"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uiPriority w:val="99"/>
    <w:qFormat/>
    <w:pPr>
      <w:keepNext/>
      <w:keepLines/>
      <w:ind w:firstLineChars="200" w:firstLine="200"/>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Subtitle"/>
    <w:basedOn w:val="a"/>
    <w:next w:val="a"/>
    <w:link w:val="Char"/>
    <w:uiPriority w:val="11"/>
    <w:qFormat/>
    <w:pPr>
      <w:spacing w:before="240" w:after="60" w:line="312" w:lineRule="auto"/>
      <w:jc w:val="center"/>
      <w:outlineLvl w:val="1"/>
    </w:pPr>
    <w:rPr>
      <w:b/>
      <w:bCs/>
      <w:kern w:val="28"/>
      <w:sz w:val="32"/>
      <w:szCs w:val="32"/>
    </w:rPr>
  </w:style>
  <w:style w:type="paragraph" w:styleId="a7">
    <w:name w:val="table of figures"/>
    <w:basedOn w:val="a"/>
    <w:next w:val="a"/>
    <w:qFormat/>
    <w:pPr>
      <w:autoSpaceDE w:val="0"/>
      <w:autoSpaceDN w:val="0"/>
      <w:ind w:firstLineChars="200" w:firstLine="560"/>
      <w:jc w:val="left"/>
    </w:pPr>
    <w:rPr>
      <w:rFonts w:ascii="宋体" w:eastAsia="微软雅黑" w:hAnsi="宋体"/>
      <w:sz w:val="24"/>
      <w:lang w:val="zh-CN" w:bidi="zh-CN"/>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styleId="a9">
    <w:name w:val="Body Text First Indent"/>
    <w:basedOn w:val="a3"/>
    <w:qFormat/>
    <w:pPr>
      <w:ind w:firstLineChars="100" w:firstLine="420"/>
    </w:pPr>
  </w:style>
  <w:style w:type="character" w:customStyle="1" w:styleId="fontstyle01">
    <w:name w:val="fontstyle01"/>
    <w:basedOn w:val="a0"/>
    <w:qFormat/>
    <w:rPr>
      <w:rFonts w:ascii="FZXBSJW--GB1-0" w:hAnsi="FZXBSJW--GB1-0" w:hint="default"/>
      <w:color w:val="000000"/>
      <w:sz w:val="44"/>
      <w:szCs w:val="44"/>
    </w:rPr>
  </w:style>
  <w:style w:type="character" w:customStyle="1" w:styleId="fontstyle21">
    <w:name w:val="fontstyle21"/>
    <w:basedOn w:val="a0"/>
    <w:qFormat/>
    <w:rPr>
      <w:rFonts w:ascii="仿宋_GB2312" w:hAnsi="仿宋_GB2312" w:hint="default"/>
      <w:color w:val="000000"/>
      <w:sz w:val="32"/>
      <w:szCs w:val="32"/>
    </w:rPr>
  </w:style>
  <w:style w:type="character" w:customStyle="1" w:styleId="fontstyle31">
    <w:name w:val="fontstyle31"/>
    <w:basedOn w:val="a0"/>
    <w:qFormat/>
    <w:rPr>
      <w:rFonts w:ascii="黑体" w:eastAsia="黑体" w:hAnsi="黑体" w:hint="eastAsia"/>
      <w:color w:val="000000"/>
      <w:sz w:val="32"/>
      <w:szCs w:val="32"/>
    </w:rPr>
  </w:style>
  <w:style w:type="character" w:customStyle="1" w:styleId="1Char">
    <w:name w:val="标题 1 Char"/>
    <w:basedOn w:val="a0"/>
    <w:link w:val="1"/>
    <w:uiPriority w:val="9"/>
    <w:qFormat/>
    <w:rPr>
      <w:b/>
      <w:bCs/>
      <w:kern w:val="44"/>
      <w:sz w:val="44"/>
      <w:szCs w:val="44"/>
    </w:rPr>
  </w:style>
  <w:style w:type="character" w:customStyle="1" w:styleId="Char">
    <w:name w:val="副标题 Char"/>
    <w:basedOn w:val="a0"/>
    <w:link w:val="a6"/>
    <w:uiPriority w:val="11"/>
    <w:qFormat/>
    <w:rPr>
      <w:b/>
      <w:bCs/>
      <w:kern w:val="28"/>
      <w:sz w:val="32"/>
      <w:szCs w:val="32"/>
    </w:rPr>
  </w:style>
  <w:style w:type="paragraph" w:styleId="aa">
    <w:name w:val="No Spacing"/>
    <w:uiPriority w:val="1"/>
    <w:qFormat/>
    <w:pPr>
      <w:widowControl w:val="0"/>
      <w:jc w:val="both"/>
    </w:pPr>
    <w:rPr>
      <w:rFonts w:ascii="等线" w:eastAsia="等线" w:hAnsi="等线" w:cs="宋体"/>
      <w:kern w:val="2"/>
      <w:sz w:val="21"/>
      <w:szCs w:val="22"/>
    </w:rPr>
  </w:style>
  <w:style w:type="character" w:customStyle="1" w:styleId="2Char">
    <w:name w:val="标题 2 Char"/>
    <w:basedOn w:val="a0"/>
    <w:link w:val="2"/>
    <w:uiPriority w:val="9"/>
    <w:qFormat/>
    <w:rPr>
      <w:rFonts w:ascii="等线 Light" w:eastAsia="等线 Light" w:hAnsi="等线 Light" w:cs="宋体"/>
      <w:b/>
      <w:bCs/>
      <w:sz w:val="32"/>
      <w:szCs w:val="32"/>
    </w:rPr>
  </w:style>
  <w:style w:type="paragraph" w:customStyle="1" w:styleId="NormalIndent">
    <w:name w:val="NormalIndent"/>
    <w:basedOn w:val="a"/>
    <w:qFormat/>
    <w:pPr>
      <w:ind w:firstLineChars="200" w:firstLine="420"/>
    </w:pPr>
  </w:style>
  <w:style w:type="paragraph" w:customStyle="1" w:styleId="Default">
    <w:name w:val="Default"/>
    <w:basedOn w:val="a"/>
    <w:qFormat/>
    <w:pPr>
      <w:autoSpaceDE w:val="0"/>
      <w:autoSpaceDN w:val="0"/>
      <w:jc w:val="left"/>
    </w:pPr>
    <w:rPr>
      <w:rFonts w:ascii="方正小标宋简体" w:hAnsi="方正小标宋简体"/>
      <w:color w:val="000000"/>
      <w:kern w:val="0"/>
      <w:sz w:val="24"/>
      <w:szCs w:val="24"/>
    </w:rPr>
  </w:style>
  <w:style w:type="paragraph" w:customStyle="1" w:styleId="10">
    <w:name w:val="页脚1"/>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qFormat="1"/>
    <w:lsdException w:name="Default Paragraph Font" w:semiHidden="1" w:uiPriority="1" w:unhideWhenUsed="1" w:qFormat="1"/>
    <w:lsdException w:name="Body Text" w:qFormat="1"/>
    <w:lsdException w:name="Subtitle" w:uiPriority="11"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uiPriority w:val="99"/>
    <w:qFormat/>
    <w:pPr>
      <w:keepNext/>
      <w:keepLines/>
      <w:ind w:firstLineChars="200" w:firstLine="200"/>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Subtitle"/>
    <w:basedOn w:val="a"/>
    <w:next w:val="a"/>
    <w:link w:val="Char"/>
    <w:uiPriority w:val="11"/>
    <w:qFormat/>
    <w:pPr>
      <w:spacing w:before="240" w:after="60" w:line="312" w:lineRule="auto"/>
      <w:jc w:val="center"/>
      <w:outlineLvl w:val="1"/>
    </w:pPr>
    <w:rPr>
      <w:b/>
      <w:bCs/>
      <w:kern w:val="28"/>
      <w:sz w:val="32"/>
      <w:szCs w:val="32"/>
    </w:rPr>
  </w:style>
  <w:style w:type="paragraph" w:styleId="a7">
    <w:name w:val="table of figures"/>
    <w:basedOn w:val="a"/>
    <w:next w:val="a"/>
    <w:qFormat/>
    <w:pPr>
      <w:autoSpaceDE w:val="0"/>
      <w:autoSpaceDN w:val="0"/>
      <w:ind w:firstLineChars="200" w:firstLine="560"/>
      <w:jc w:val="left"/>
    </w:pPr>
    <w:rPr>
      <w:rFonts w:ascii="宋体" w:eastAsia="微软雅黑" w:hAnsi="宋体"/>
      <w:sz w:val="24"/>
      <w:lang w:val="zh-CN" w:bidi="zh-CN"/>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styleId="a9">
    <w:name w:val="Body Text First Indent"/>
    <w:basedOn w:val="a3"/>
    <w:qFormat/>
    <w:pPr>
      <w:ind w:firstLineChars="100" w:firstLine="420"/>
    </w:pPr>
  </w:style>
  <w:style w:type="character" w:customStyle="1" w:styleId="fontstyle01">
    <w:name w:val="fontstyle01"/>
    <w:basedOn w:val="a0"/>
    <w:qFormat/>
    <w:rPr>
      <w:rFonts w:ascii="FZXBSJW--GB1-0" w:hAnsi="FZXBSJW--GB1-0" w:hint="default"/>
      <w:color w:val="000000"/>
      <w:sz w:val="44"/>
      <w:szCs w:val="44"/>
    </w:rPr>
  </w:style>
  <w:style w:type="character" w:customStyle="1" w:styleId="fontstyle21">
    <w:name w:val="fontstyle21"/>
    <w:basedOn w:val="a0"/>
    <w:qFormat/>
    <w:rPr>
      <w:rFonts w:ascii="仿宋_GB2312" w:hAnsi="仿宋_GB2312" w:hint="default"/>
      <w:color w:val="000000"/>
      <w:sz w:val="32"/>
      <w:szCs w:val="32"/>
    </w:rPr>
  </w:style>
  <w:style w:type="character" w:customStyle="1" w:styleId="fontstyle31">
    <w:name w:val="fontstyle31"/>
    <w:basedOn w:val="a0"/>
    <w:qFormat/>
    <w:rPr>
      <w:rFonts w:ascii="黑体" w:eastAsia="黑体" w:hAnsi="黑体" w:hint="eastAsia"/>
      <w:color w:val="000000"/>
      <w:sz w:val="32"/>
      <w:szCs w:val="32"/>
    </w:rPr>
  </w:style>
  <w:style w:type="character" w:customStyle="1" w:styleId="1Char">
    <w:name w:val="标题 1 Char"/>
    <w:basedOn w:val="a0"/>
    <w:link w:val="1"/>
    <w:uiPriority w:val="9"/>
    <w:qFormat/>
    <w:rPr>
      <w:b/>
      <w:bCs/>
      <w:kern w:val="44"/>
      <w:sz w:val="44"/>
      <w:szCs w:val="44"/>
    </w:rPr>
  </w:style>
  <w:style w:type="character" w:customStyle="1" w:styleId="Char">
    <w:name w:val="副标题 Char"/>
    <w:basedOn w:val="a0"/>
    <w:link w:val="a6"/>
    <w:uiPriority w:val="11"/>
    <w:qFormat/>
    <w:rPr>
      <w:b/>
      <w:bCs/>
      <w:kern w:val="28"/>
      <w:sz w:val="32"/>
      <w:szCs w:val="32"/>
    </w:rPr>
  </w:style>
  <w:style w:type="paragraph" w:styleId="aa">
    <w:name w:val="No Spacing"/>
    <w:uiPriority w:val="1"/>
    <w:qFormat/>
    <w:pPr>
      <w:widowControl w:val="0"/>
      <w:jc w:val="both"/>
    </w:pPr>
    <w:rPr>
      <w:rFonts w:ascii="等线" w:eastAsia="等线" w:hAnsi="等线" w:cs="宋体"/>
      <w:kern w:val="2"/>
      <w:sz w:val="21"/>
      <w:szCs w:val="22"/>
    </w:rPr>
  </w:style>
  <w:style w:type="character" w:customStyle="1" w:styleId="2Char">
    <w:name w:val="标题 2 Char"/>
    <w:basedOn w:val="a0"/>
    <w:link w:val="2"/>
    <w:uiPriority w:val="9"/>
    <w:qFormat/>
    <w:rPr>
      <w:rFonts w:ascii="等线 Light" w:eastAsia="等线 Light" w:hAnsi="等线 Light" w:cs="宋体"/>
      <w:b/>
      <w:bCs/>
      <w:sz w:val="32"/>
      <w:szCs w:val="32"/>
    </w:rPr>
  </w:style>
  <w:style w:type="paragraph" w:customStyle="1" w:styleId="NormalIndent">
    <w:name w:val="NormalIndent"/>
    <w:basedOn w:val="a"/>
    <w:qFormat/>
    <w:pPr>
      <w:ind w:firstLineChars="200" w:firstLine="420"/>
    </w:pPr>
  </w:style>
  <w:style w:type="paragraph" w:customStyle="1" w:styleId="Default">
    <w:name w:val="Default"/>
    <w:basedOn w:val="a"/>
    <w:qFormat/>
    <w:pPr>
      <w:autoSpaceDE w:val="0"/>
      <w:autoSpaceDN w:val="0"/>
      <w:jc w:val="left"/>
    </w:pPr>
    <w:rPr>
      <w:rFonts w:ascii="方正小标宋简体" w:hAnsi="方正小标宋简体"/>
      <w:color w:val="000000"/>
      <w:kern w:val="0"/>
      <w:sz w:val="24"/>
      <w:szCs w:val="24"/>
    </w:rPr>
  </w:style>
  <w:style w:type="paragraph" w:customStyle="1" w:styleId="10">
    <w:name w:val="页脚1"/>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562</Words>
  <Characters>3204</Characters>
  <Application>Microsoft Office Word</Application>
  <DocSecurity>0</DocSecurity>
  <Lines>26</Lines>
  <Paragraphs>7</Paragraphs>
  <ScaleCrop>false</ScaleCrop>
  <Company>微软中国</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微软用户</cp:lastModifiedBy>
  <cp:revision>2</cp:revision>
  <cp:lastPrinted>2024-03-16T18:32:00Z</cp:lastPrinted>
  <dcterms:created xsi:type="dcterms:W3CDTF">2024-03-22T12:56:00Z</dcterms:created>
  <dcterms:modified xsi:type="dcterms:W3CDTF">2024-03-22T12:56:00Z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5E12E4DA93AB4715AAEC345835760188_13</vt:lpwstr>
  </property>
</Properties>
</file>