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jc w:val="center"/>
        <w:tblLayout w:type="autofit"/>
        <w:tblCellMar>
          <w:top w:w="0" w:type="dxa"/>
          <w:left w:w="108" w:type="dxa"/>
          <w:bottom w:w="0" w:type="dxa"/>
          <w:right w:w="108" w:type="dxa"/>
        </w:tblCellMar>
      </w:tblPr>
      <w:tblGrid>
        <w:gridCol w:w="8135"/>
      </w:tblGrid>
      <w:tr>
        <w:tblPrEx>
          <w:tblCellMar>
            <w:top w:w="0" w:type="dxa"/>
            <w:left w:w="108" w:type="dxa"/>
            <w:bottom w:w="0" w:type="dxa"/>
            <w:right w:w="108" w:type="dxa"/>
          </w:tblCellMar>
        </w:tblPrEx>
        <w:trPr>
          <w:jc w:val="center"/>
        </w:trPr>
        <w:tc>
          <w:tcPr>
            <w:tcW w:w="8135" w:type="dxa"/>
          </w:tcPr>
          <w:p>
            <w:pPr>
              <w:spacing w:line="600" w:lineRule="exact"/>
              <w:jc w:val="distribute"/>
              <w:rPr>
                <w:rFonts w:ascii="Times New Roman" w:hAnsi="Times New Roman" w:eastAsia="方正小标宋简体" w:cs="Times New Roman"/>
                <w:color w:val="FF0000"/>
                <w:sz w:val="52"/>
                <w:szCs w:val="52"/>
              </w:rPr>
            </w:pPr>
            <w:r>
              <w:rPr>
                <w:rFonts w:hint="eastAsia" w:ascii="Times New Roman" w:hAnsi="Times New Roman" w:eastAsia="方正小标宋简体" w:cs="Times New Roman"/>
                <w:color w:val="FF0000"/>
                <w:sz w:val="52"/>
                <w:szCs w:val="52"/>
                <w:lang w:eastAsia="zh-CN"/>
              </w:rPr>
              <w:t>聊城</w:t>
            </w:r>
            <w:r>
              <w:rPr>
                <w:rFonts w:ascii="Times New Roman" w:hAnsi="Times New Roman" w:eastAsia="方正小标宋简体" w:cs="Times New Roman"/>
                <w:color w:val="FF0000"/>
                <w:sz w:val="52"/>
                <w:szCs w:val="52"/>
              </w:rPr>
              <w:t>市商务局</w:t>
            </w:r>
          </w:p>
        </w:tc>
      </w:tr>
      <w:tr>
        <w:tblPrEx>
          <w:tblCellMar>
            <w:top w:w="0" w:type="dxa"/>
            <w:left w:w="108" w:type="dxa"/>
            <w:bottom w:w="0" w:type="dxa"/>
            <w:right w:w="108" w:type="dxa"/>
          </w:tblCellMar>
        </w:tblPrEx>
        <w:trPr>
          <w:jc w:val="center"/>
        </w:trPr>
        <w:tc>
          <w:tcPr>
            <w:tcW w:w="8135" w:type="dxa"/>
          </w:tcPr>
          <w:p>
            <w:pPr>
              <w:spacing w:line="600" w:lineRule="exact"/>
              <w:jc w:val="distribute"/>
              <w:rPr>
                <w:rFonts w:hint="eastAsia" w:ascii="Times New Roman" w:hAnsi="Times New Roman" w:eastAsia="方正小标宋简体" w:cs="Times New Roman"/>
                <w:color w:val="FF0000"/>
                <w:sz w:val="52"/>
                <w:szCs w:val="52"/>
                <w:lang w:eastAsia="zh-CN"/>
              </w:rPr>
            </w:pPr>
            <w:r>
              <w:rPr>
                <w:rFonts w:hint="eastAsia" w:ascii="Times New Roman" w:hAnsi="Times New Roman" w:eastAsia="方正小标宋简体" w:cs="Times New Roman"/>
                <w:color w:val="FF0000"/>
                <w:sz w:val="52"/>
                <w:szCs w:val="52"/>
                <w:lang w:eastAsia="zh-CN"/>
              </w:rPr>
              <w:t>聊城市发展和改革委员会</w:t>
            </w:r>
          </w:p>
        </w:tc>
      </w:tr>
      <w:tr>
        <w:tblPrEx>
          <w:tblCellMar>
            <w:top w:w="0" w:type="dxa"/>
            <w:left w:w="108" w:type="dxa"/>
            <w:bottom w:w="0" w:type="dxa"/>
            <w:right w:w="108" w:type="dxa"/>
          </w:tblCellMar>
        </w:tblPrEx>
        <w:trPr>
          <w:jc w:val="center"/>
        </w:trPr>
        <w:tc>
          <w:tcPr>
            <w:tcW w:w="8135" w:type="dxa"/>
          </w:tcPr>
          <w:p>
            <w:pPr>
              <w:spacing w:line="600" w:lineRule="exact"/>
              <w:jc w:val="distribute"/>
              <w:rPr>
                <w:rFonts w:hint="eastAsia" w:ascii="Times New Roman" w:hAnsi="Times New Roman" w:eastAsia="方正小标宋简体" w:cs="Times New Roman"/>
                <w:color w:val="FF0000"/>
                <w:sz w:val="52"/>
                <w:szCs w:val="52"/>
                <w:lang w:eastAsia="zh-CN"/>
              </w:rPr>
            </w:pPr>
            <w:r>
              <w:rPr>
                <w:rFonts w:hint="eastAsia" w:ascii="Times New Roman" w:hAnsi="Times New Roman" w:eastAsia="方正小标宋简体" w:cs="Times New Roman"/>
                <w:color w:val="FF0000"/>
                <w:sz w:val="52"/>
                <w:szCs w:val="52"/>
                <w:lang w:eastAsia="zh-CN"/>
              </w:rPr>
              <w:t>聊城市教育和体育局</w:t>
            </w:r>
          </w:p>
        </w:tc>
      </w:tr>
      <w:tr>
        <w:trPr>
          <w:jc w:val="center"/>
        </w:trPr>
        <w:tc>
          <w:tcPr>
            <w:tcW w:w="8135" w:type="dxa"/>
          </w:tcPr>
          <w:p>
            <w:pPr>
              <w:spacing w:line="600" w:lineRule="exact"/>
              <w:jc w:val="distribute"/>
              <w:rPr>
                <w:rFonts w:hint="eastAsia" w:ascii="Times New Roman" w:hAnsi="Times New Roman" w:eastAsia="方正小标宋简体" w:cs="Times New Roman"/>
                <w:color w:val="FF0000"/>
                <w:sz w:val="52"/>
                <w:szCs w:val="52"/>
                <w:lang w:eastAsia="zh-CN"/>
              </w:rPr>
            </w:pPr>
            <w:r>
              <w:rPr>
                <w:rFonts w:hint="eastAsia" w:ascii="Times New Roman" w:hAnsi="Times New Roman" w:eastAsia="方正小标宋简体" w:cs="Times New Roman"/>
                <w:color w:val="FF0000"/>
                <w:sz w:val="52"/>
                <w:szCs w:val="52"/>
                <w:lang w:eastAsia="zh-CN"/>
              </w:rPr>
              <w:t>聊城市民政局</w:t>
            </w:r>
          </w:p>
        </w:tc>
      </w:tr>
      <w:tr>
        <w:tblPrEx>
          <w:tblCellMar>
            <w:top w:w="0" w:type="dxa"/>
            <w:left w:w="108" w:type="dxa"/>
            <w:bottom w:w="0" w:type="dxa"/>
            <w:right w:w="108" w:type="dxa"/>
          </w:tblCellMar>
        </w:tblPrEx>
        <w:trPr>
          <w:jc w:val="center"/>
        </w:trPr>
        <w:tc>
          <w:tcPr>
            <w:tcW w:w="8135" w:type="dxa"/>
          </w:tcPr>
          <w:p>
            <w:pPr>
              <w:spacing w:line="600" w:lineRule="exact"/>
              <w:jc w:val="distribute"/>
              <w:rPr>
                <w:rFonts w:ascii="Times New Roman" w:hAnsi="Times New Roman" w:eastAsia="方正小标宋简体" w:cs="Times New Roman"/>
                <w:color w:val="FF0000"/>
                <w:sz w:val="52"/>
                <w:szCs w:val="52"/>
              </w:rPr>
            </w:pPr>
            <w:r>
              <w:rPr>
                <w:rFonts w:hint="eastAsia" w:ascii="Times New Roman" w:hAnsi="Times New Roman" w:eastAsia="方正小标宋简体" w:cs="Times New Roman"/>
                <w:color w:val="FF0000"/>
                <w:sz w:val="52"/>
                <w:szCs w:val="52"/>
                <w:lang w:eastAsia="zh-CN"/>
              </w:rPr>
              <w:t>聊城</w:t>
            </w:r>
            <w:r>
              <w:rPr>
                <w:rFonts w:ascii="Times New Roman" w:hAnsi="Times New Roman" w:eastAsia="方正小标宋简体" w:cs="Times New Roman"/>
                <w:color w:val="FF0000"/>
                <w:sz w:val="52"/>
                <w:szCs w:val="52"/>
              </w:rPr>
              <w:t>市财政局</w:t>
            </w:r>
          </w:p>
        </w:tc>
      </w:tr>
      <w:tr>
        <w:tblPrEx>
          <w:tblCellMar>
            <w:top w:w="0" w:type="dxa"/>
            <w:left w:w="108" w:type="dxa"/>
            <w:bottom w:w="0" w:type="dxa"/>
            <w:right w:w="108" w:type="dxa"/>
          </w:tblCellMar>
        </w:tblPrEx>
        <w:trPr>
          <w:jc w:val="center"/>
        </w:trPr>
        <w:tc>
          <w:tcPr>
            <w:tcW w:w="8135" w:type="dxa"/>
          </w:tcPr>
          <w:p>
            <w:pPr>
              <w:spacing w:line="600" w:lineRule="exact"/>
              <w:jc w:val="distribute"/>
              <w:rPr>
                <w:rFonts w:ascii="Times New Roman" w:hAnsi="Times New Roman" w:eastAsia="方正小标宋简体" w:cs="Times New Roman"/>
                <w:color w:val="FF0000"/>
                <w:sz w:val="52"/>
                <w:szCs w:val="52"/>
              </w:rPr>
            </w:pPr>
            <w:r>
              <w:rPr>
                <w:rFonts w:hint="eastAsia" w:ascii="Times New Roman" w:hAnsi="Times New Roman" w:eastAsia="方正小标宋简体" w:cs="Times New Roman"/>
                <w:color w:val="FF0000"/>
                <w:sz w:val="52"/>
                <w:szCs w:val="52"/>
                <w:lang w:eastAsia="zh-CN"/>
              </w:rPr>
              <w:t>聊城</w:t>
            </w:r>
            <w:r>
              <w:rPr>
                <w:rFonts w:ascii="Times New Roman" w:hAnsi="Times New Roman" w:eastAsia="方正小标宋简体" w:cs="Times New Roman"/>
                <w:color w:val="FF0000"/>
                <w:sz w:val="52"/>
                <w:szCs w:val="52"/>
              </w:rPr>
              <w:t>市人力资源和社会保障局</w:t>
            </w:r>
          </w:p>
        </w:tc>
      </w:tr>
      <w:tr>
        <w:tblPrEx>
          <w:tblCellMar>
            <w:top w:w="0" w:type="dxa"/>
            <w:left w:w="108" w:type="dxa"/>
            <w:bottom w:w="0" w:type="dxa"/>
            <w:right w:w="108" w:type="dxa"/>
          </w:tblCellMar>
        </w:tblPrEx>
        <w:trPr>
          <w:jc w:val="center"/>
        </w:trPr>
        <w:tc>
          <w:tcPr>
            <w:tcW w:w="8135" w:type="dxa"/>
          </w:tcPr>
          <w:p>
            <w:pPr>
              <w:spacing w:line="600" w:lineRule="exact"/>
              <w:jc w:val="distribute"/>
              <w:rPr>
                <w:rFonts w:ascii="Times New Roman" w:hAnsi="Times New Roman" w:eastAsia="方正小标宋简体" w:cs="Times New Roman"/>
                <w:color w:val="FF0000"/>
                <w:sz w:val="52"/>
                <w:szCs w:val="52"/>
              </w:rPr>
            </w:pPr>
            <w:r>
              <w:rPr>
                <w:rFonts w:hint="eastAsia" w:ascii="Times New Roman" w:hAnsi="Times New Roman" w:eastAsia="方正小标宋简体" w:cs="Times New Roman"/>
                <w:color w:val="FF0000"/>
                <w:sz w:val="52"/>
                <w:szCs w:val="52"/>
                <w:lang w:eastAsia="zh-CN"/>
              </w:rPr>
              <w:t>聊城</w:t>
            </w:r>
            <w:r>
              <w:rPr>
                <w:rFonts w:ascii="Times New Roman" w:hAnsi="Times New Roman" w:eastAsia="方正小标宋简体" w:cs="Times New Roman"/>
                <w:color w:val="FF0000"/>
                <w:sz w:val="52"/>
                <w:szCs w:val="52"/>
              </w:rPr>
              <w:t>市自然资源和规划局</w:t>
            </w:r>
          </w:p>
        </w:tc>
      </w:tr>
      <w:tr>
        <w:trPr>
          <w:jc w:val="center"/>
        </w:trPr>
        <w:tc>
          <w:tcPr>
            <w:tcW w:w="8135" w:type="dxa"/>
          </w:tcPr>
          <w:p>
            <w:pPr>
              <w:spacing w:line="600" w:lineRule="exact"/>
              <w:jc w:val="distribute"/>
              <w:rPr>
                <w:rFonts w:ascii="Times New Roman" w:hAnsi="Times New Roman" w:eastAsia="方正小标宋简体" w:cs="Times New Roman"/>
                <w:color w:val="FF0000"/>
                <w:sz w:val="52"/>
                <w:szCs w:val="52"/>
              </w:rPr>
            </w:pPr>
            <w:r>
              <w:rPr>
                <w:rFonts w:hint="eastAsia" w:ascii="Times New Roman" w:hAnsi="Times New Roman" w:eastAsia="方正小标宋简体" w:cs="Times New Roman"/>
                <w:color w:val="FF0000"/>
                <w:sz w:val="52"/>
                <w:szCs w:val="52"/>
                <w:lang w:eastAsia="zh-CN"/>
              </w:rPr>
              <w:t>聊城</w:t>
            </w:r>
            <w:r>
              <w:rPr>
                <w:rFonts w:ascii="Times New Roman" w:hAnsi="Times New Roman" w:eastAsia="方正小标宋简体" w:cs="Times New Roman"/>
                <w:color w:val="FF0000"/>
                <w:sz w:val="52"/>
                <w:szCs w:val="52"/>
              </w:rPr>
              <w:t>市住房和城乡建设局</w:t>
            </w:r>
          </w:p>
        </w:tc>
      </w:tr>
      <w:tr>
        <w:tblPrEx>
          <w:tblCellMar>
            <w:top w:w="0" w:type="dxa"/>
            <w:left w:w="108" w:type="dxa"/>
            <w:bottom w:w="0" w:type="dxa"/>
            <w:right w:w="108" w:type="dxa"/>
          </w:tblCellMar>
        </w:tblPrEx>
        <w:trPr>
          <w:jc w:val="center"/>
        </w:trPr>
        <w:tc>
          <w:tcPr>
            <w:tcW w:w="8135" w:type="dxa"/>
          </w:tcPr>
          <w:p>
            <w:pPr>
              <w:spacing w:line="600" w:lineRule="exact"/>
              <w:jc w:val="distribute"/>
              <w:rPr>
                <w:rFonts w:hint="eastAsia" w:ascii="Times New Roman" w:hAnsi="Times New Roman" w:eastAsia="方正小标宋简体" w:cs="Times New Roman"/>
                <w:color w:val="FF0000"/>
                <w:sz w:val="52"/>
                <w:szCs w:val="52"/>
                <w:lang w:eastAsia="zh-CN"/>
              </w:rPr>
            </w:pPr>
            <w:r>
              <w:rPr>
                <w:rFonts w:hint="eastAsia" w:ascii="Times New Roman" w:hAnsi="Times New Roman" w:eastAsia="方正小标宋简体" w:cs="Times New Roman"/>
                <w:color w:val="FF0000"/>
                <w:sz w:val="52"/>
                <w:szCs w:val="52"/>
                <w:lang w:eastAsia="zh-CN"/>
              </w:rPr>
              <w:t>聊城市文化和旅游局</w:t>
            </w:r>
          </w:p>
        </w:tc>
      </w:tr>
      <w:tr>
        <w:tblPrEx>
          <w:tblCellMar>
            <w:top w:w="0" w:type="dxa"/>
            <w:left w:w="108" w:type="dxa"/>
            <w:bottom w:w="0" w:type="dxa"/>
            <w:right w:w="108" w:type="dxa"/>
          </w:tblCellMar>
        </w:tblPrEx>
        <w:trPr>
          <w:jc w:val="center"/>
        </w:trPr>
        <w:tc>
          <w:tcPr>
            <w:tcW w:w="8135" w:type="dxa"/>
          </w:tcPr>
          <w:p>
            <w:pPr>
              <w:spacing w:line="600" w:lineRule="exact"/>
              <w:jc w:val="distribute"/>
              <w:rPr>
                <w:rFonts w:hint="eastAsia" w:ascii="Times New Roman" w:hAnsi="Times New Roman" w:eastAsia="方正小标宋简体" w:cs="Times New Roman"/>
                <w:color w:val="FF0000"/>
                <w:sz w:val="52"/>
                <w:szCs w:val="52"/>
                <w:lang w:eastAsia="zh-CN"/>
              </w:rPr>
            </w:pPr>
            <w:r>
              <w:rPr>
                <w:rFonts w:hint="eastAsia" w:ascii="Times New Roman" w:hAnsi="Times New Roman" w:eastAsia="方正小标宋简体" w:cs="Times New Roman"/>
                <w:color w:val="FF0000"/>
                <w:sz w:val="52"/>
                <w:szCs w:val="52"/>
                <w:lang w:eastAsia="zh-CN"/>
              </w:rPr>
              <w:t>聊城市卫生健康委员会</w:t>
            </w:r>
          </w:p>
        </w:tc>
      </w:tr>
      <w:tr>
        <w:tblPrEx>
          <w:tblCellMar>
            <w:top w:w="0" w:type="dxa"/>
            <w:left w:w="108" w:type="dxa"/>
            <w:bottom w:w="0" w:type="dxa"/>
            <w:right w:w="108" w:type="dxa"/>
          </w:tblCellMar>
        </w:tblPrEx>
        <w:trPr>
          <w:jc w:val="center"/>
        </w:trPr>
        <w:tc>
          <w:tcPr>
            <w:tcW w:w="8135" w:type="dxa"/>
            <w:vAlign w:val="top"/>
          </w:tcPr>
          <w:p>
            <w:pPr>
              <w:spacing w:line="600" w:lineRule="exact"/>
              <w:jc w:val="distribute"/>
              <w:rPr>
                <w:rFonts w:hint="eastAsia" w:ascii="Times New Roman" w:hAnsi="Times New Roman" w:eastAsia="方正小标宋简体" w:cs="Times New Roman"/>
                <w:color w:val="FF0000"/>
                <w:kern w:val="2"/>
                <w:sz w:val="52"/>
                <w:szCs w:val="52"/>
                <w:lang w:val="en-US" w:eastAsia="zh-CN" w:bidi="ar-SA"/>
              </w:rPr>
            </w:pPr>
            <w:r>
              <w:rPr>
                <w:rFonts w:hint="eastAsia" w:ascii="Times New Roman" w:hAnsi="Times New Roman" w:eastAsia="方正小标宋简体" w:cs="Times New Roman"/>
                <w:color w:val="FF0000"/>
                <w:sz w:val="52"/>
                <w:szCs w:val="52"/>
                <w:lang w:eastAsia="zh-CN"/>
              </w:rPr>
              <w:t>聊城</w:t>
            </w:r>
            <w:r>
              <w:rPr>
                <w:rFonts w:ascii="Times New Roman" w:hAnsi="Times New Roman" w:eastAsia="方正小标宋简体" w:cs="Times New Roman"/>
                <w:color w:val="FF0000"/>
                <w:sz w:val="52"/>
                <w:szCs w:val="52"/>
              </w:rPr>
              <w:t>市行政审批服务局</w:t>
            </w:r>
          </w:p>
        </w:tc>
      </w:tr>
      <w:tr>
        <w:trPr>
          <w:jc w:val="center"/>
        </w:trPr>
        <w:tc>
          <w:tcPr>
            <w:tcW w:w="8135" w:type="dxa"/>
          </w:tcPr>
          <w:p>
            <w:pPr>
              <w:spacing w:line="600" w:lineRule="exact"/>
              <w:jc w:val="distribute"/>
              <w:rPr>
                <w:rFonts w:hint="eastAsia" w:ascii="Times New Roman" w:hAnsi="Times New Roman" w:eastAsia="方正小标宋简体" w:cs="Times New Roman"/>
                <w:color w:val="FF0000"/>
                <w:sz w:val="52"/>
                <w:szCs w:val="52"/>
                <w:lang w:eastAsia="zh-CN"/>
              </w:rPr>
            </w:pPr>
            <w:r>
              <w:rPr>
                <w:rFonts w:hint="eastAsia" w:ascii="Times New Roman" w:hAnsi="Times New Roman" w:eastAsia="方正小标宋简体" w:cs="Times New Roman"/>
                <w:color w:val="FF0000"/>
                <w:sz w:val="52"/>
                <w:szCs w:val="52"/>
                <w:lang w:eastAsia="zh-CN"/>
              </w:rPr>
              <w:t>聊城</w:t>
            </w:r>
            <w:r>
              <w:rPr>
                <w:rFonts w:ascii="Times New Roman" w:hAnsi="Times New Roman" w:eastAsia="方正小标宋简体" w:cs="Times New Roman"/>
                <w:color w:val="FF0000"/>
                <w:sz w:val="52"/>
                <w:szCs w:val="52"/>
              </w:rPr>
              <w:t>市市场监督管理局</w:t>
            </w:r>
          </w:p>
        </w:tc>
      </w:tr>
      <w:tr>
        <w:tblPrEx>
          <w:tblCellMar>
            <w:top w:w="0" w:type="dxa"/>
            <w:left w:w="108" w:type="dxa"/>
            <w:bottom w:w="0" w:type="dxa"/>
            <w:right w:w="108" w:type="dxa"/>
          </w:tblCellMar>
        </w:tblPrEx>
        <w:trPr>
          <w:jc w:val="center"/>
        </w:trPr>
        <w:tc>
          <w:tcPr>
            <w:tcW w:w="8135" w:type="dxa"/>
          </w:tcPr>
          <w:p>
            <w:pPr>
              <w:spacing w:line="600" w:lineRule="exact"/>
              <w:jc w:val="distribute"/>
              <w:rPr>
                <w:rFonts w:ascii="Times New Roman" w:hAnsi="Times New Roman" w:eastAsia="方正小标宋简体" w:cs="Times New Roman"/>
                <w:color w:val="FF0000"/>
                <w:sz w:val="52"/>
                <w:szCs w:val="52"/>
              </w:rPr>
            </w:pPr>
            <w:r>
              <w:rPr>
                <w:rFonts w:hint="eastAsia" w:ascii="Times New Roman" w:hAnsi="Times New Roman" w:eastAsia="方正小标宋简体" w:cs="Times New Roman"/>
                <w:color w:val="FF0000"/>
                <w:sz w:val="52"/>
                <w:szCs w:val="52"/>
                <w:lang w:eastAsia="zh-CN"/>
              </w:rPr>
              <w:t>聊城</w:t>
            </w:r>
            <w:r>
              <w:rPr>
                <w:rFonts w:ascii="Times New Roman" w:hAnsi="Times New Roman" w:eastAsia="方正小标宋简体" w:cs="Times New Roman"/>
                <w:color w:val="FF0000"/>
                <w:sz w:val="52"/>
                <w:szCs w:val="52"/>
              </w:rPr>
              <w:t>市城市管理局</w:t>
            </w:r>
          </w:p>
        </w:tc>
      </w:tr>
      <w:tr>
        <w:tblPrEx>
          <w:tblCellMar>
            <w:top w:w="0" w:type="dxa"/>
            <w:left w:w="108" w:type="dxa"/>
            <w:bottom w:w="0" w:type="dxa"/>
            <w:right w:w="108" w:type="dxa"/>
          </w:tblCellMar>
        </w:tblPrEx>
        <w:trPr>
          <w:jc w:val="center"/>
        </w:trPr>
        <w:tc>
          <w:tcPr>
            <w:tcW w:w="8135" w:type="dxa"/>
          </w:tcPr>
          <w:p>
            <w:pPr>
              <w:spacing w:line="600" w:lineRule="exact"/>
              <w:jc w:val="distribute"/>
              <w:rPr>
                <w:rFonts w:ascii="Times New Roman" w:hAnsi="Times New Roman" w:eastAsia="方正小标宋简体" w:cs="Times New Roman"/>
                <w:color w:val="FF0000"/>
                <w:sz w:val="52"/>
                <w:szCs w:val="52"/>
              </w:rPr>
            </w:pPr>
            <w:r>
              <w:rPr>
                <w:rFonts w:hint="eastAsia" w:ascii="Times New Roman" w:hAnsi="Times New Roman" w:eastAsia="方正小标宋简体" w:cs="Times New Roman"/>
                <w:color w:val="FF0000"/>
                <w:sz w:val="52"/>
                <w:szCs w:val="52"/>
                <w:lang w:eastAsia="zh-CN"/>
              </w:rPr>
              <w:t>聊城</w:t>
            </w:r>
            <w:r>
              <w:rPr>
                <w:rFonts w:ascii="Times New Roman" w:hAnsi="Times New Roman" w:eastAsia="方正小标宋简体" w:cs="Times New Roman"/>
                <w:color w:val="FF0000"/>
                <w:sz w:val="52"/>
                <w:szCs w:val="52"/>
              </w:rPr>
              <w:t>市税务局</w:t>
            </w:r>
          </w:p>
        </w:tc>
      </w:tr>
      <w:tr>
        <w:tblPrEx>
          <w:tblCellMar>
            <w:top w:w="0" w:type="dxa"/>
            <w:left w:w="108" w:type="dxa"/>
            <w:bottom w:w="0" w:type="dxa"/>
            <w:right w:w="108" w:type="dxa"/>
          </w:tblCellMar>
        </w:tblPrEx>
        <w:trPr>
          <w:jc w:val="center"/>
        </w:trPr>
        <w:tc>
          <w:tcPr>
            <w:tcW w:w="8135" w:type="dxa"/>
          </w:tcPr>
          <w:p>
            <w:pPr>
              <w:spacing w:line="600" w:lineRule="exact"/>
              <w:jc w:val="distribute"/>
              <w:rPr>
                <w:rFonts w:hint="eastAsia" w:ascii="Times New Roman" w:hAnsi="Times New Roman" w:eastAsia="方正小标宋简体" w:cs="Times New Roman"/>
                <w:b/>
                <w:bCs/>
                <w:color w:val="FF0000"/>
                <w:sz w:val="52"/>
                <w:szCs w:val="52"/>
                <w:lang w:eastAsia="zh-CN"/>
              </w:rPr>
            </w:pPr>
            <w:r>
              <w:rPr>
                <w:rFonts w:hint="eastAsia" w:ascii="Times New Roman" w:hAnsi="Times New Roman" w:eastAsia="方正小标宋简体" w:cs="Times New Roman"/>
                <w:color w:val="FF0000"/>
                <w:sz w:val="52"/>
                <w:szCs w:val="52"/>
                <w:lang w:eastAsia="zh-CN"/>
              </w:rPr>
              <w:t>聊城</w:t>
            </w:r>
            <w:r>
              <w:rPr>
                <w:rFonts w:ascii="Times New Roman" w:hAnsi="Times New Roman" w:eastAsia="方正小标宋简体" w:cs="Times New Roman"/>
                <w:color w:val="FF0000"/>
                <w:sz w:val="52"/>
                <w:szCs w:val="52"/>
              </w:rPr>
              <w:t>市邮政管理局</w:t>
            </w:r>
          </w:p>
        </w:tc>
      </w:tr>
      <w:tr>
        <w:trPr>
          <w:jc w:val="center"/>
        </w:trPr>
        <w:tc>
          <w:tcPr>
            <w:tcW w:w="8135" w:type="dxa"/>
          </w:tcPr>
          <w:p>
            <w:pPr>
              <w:spacing w:line="600" w:lineRule="exact"/>
              <w:jc w:val="distribute"/>
              <w:rPr>
                <w:rFonts w:ascii="Times New Roman" w:hAnsi="Times New Roman" w:eastAsia="方正小标宋简体" w:cs="Times New Roman"/>
                <w:color w:val="FF0000"/>
                <w:spacing w:val="-14"/>
                <w:w w:val="80"/>
                <w:sz w:val="52"/>
                <w:szCs w:val="52"/>
              </w:rPr>
            </w:pPr>
            <w:r>
              <w:rPr>
                <w:rFonts w:hint="eastAsia" w:ascii="Times New Roman" w:hAnsi="Times New Roman" w:eastAsia="方正小标宋简体" w:cs="Times New Roman"/>
                <w:color w:val="FF0000"/>
                <w:spacing w:val="-14"/>
                <w:w w:val="80"/>
                <w:sz w:val="52"/>
                <w:szCs w:val="52"/>
              </w:rPr>
              <w:t>中国人民银行聊城市</w:t>
            </w:r>
            <w:r>
              <w:rPr>
                <w:rFonts w:hint="eastAsia" w:ascii="Times New Roman" w:hAnsi="Times New Roman" w:eastAsia="方正小标宋简体" w:cs="Times New Roman"/>
                <w:color w:val="FF0000"/>
                <w:spacing w:val="-14"/>
                <w:w w:val="80"/>
                <w:sz w:val="52"/>
                <w:szCs w:val="52"/>
                <w:lang w:eastAsia="zh-CN"/>
              </w:rPr>
              <w:t>分</w:t>
            </w:r>
            <w:r>
              <w:rPr>
                <w:rFonts w:hint="eastAsia" w:ascii="Times New Roman" w:hAnsi="Times New Roman" w:eastAsia="方正小标宋简体" w:cs="Times New Roman"/>
                <w:color w:val="FF0000"/>
                <w:spacing w:val="-14"/>
                <w:w w:val="80"/>
                <w:sz w:val="52"/>
                <w:szCs w:val="52"/>
              </w:rPr>
              <w:t>行</w:t>
            </w:r>
          </w:p>
        </w:tc>
      </w:tr>
      <w:tr>
        <w:tblPrEx>
          <w:tblCellMar>
            <w:top w:w="0" w:type="dxa"/>
            <w:left w:w="108" w:type="dxa"/>
            <w:bottom w:w="0" w:type="dxa"/>
            <w:right w:w="108" w:type="dxa"/>
          </w:tblCellMar>
        </w:tblPrEx>
        <w:trPr>
          <w:jc w:val="center"/>
        </w:trPr>
        <w:tc>
          <w:tcPr>
            <w:tcW w:w="8135" w:type="dxa"/>
          </w:tcPr>
          <w:p>
            <w:pPr>
              <w:spacing w:line="600" w:lineRule="exact"/>
              <w:jc w:val="distribute"/>
              <w:rPr>
                <w:rFonts w:hint="eastAsia" w:ascii="Times New Roman" w:hAnsi="Times New Roman" w:eastAsia="方正小标宋简体" w:cs="Times New Roman"/>
                <w:color w:val="FF0000"/>
                <w:spacing w:val="-14"/>
                <w:w w:val="80"/>
                <w:sz w:val="52"/>
                <w:szCs w:val="52"/>
              </w:rPr>
            </w:pPr>
            <w:r>
              <w:rPr>
                <w:rFonts w:hint="eastAsia" w:ascii="Times New Roman" w:hAnsi="Times New Roman" w:eastAsia="方正小标宋简体" w:cs="Times New Roman"/>
                <w:color w:val="FF0000"/>
                <w:spacing w:val="-14"/>
                <w:w w:val="80"/>
                <w:sz w:val="52"/>
                <w:szCs w:val="52"/>
              </w:rPr>
              <w:t>国家金融监督管理总局聊城监管分局</w:t>
            </w:r>
          </w:p>
        </w:tc>
      </w:tr>
    </w:tbl>
    <w:p>
      <w:pPr>
        <w:keepNext w:val="0"/>
        <w:keepLines w:val="0"/>
        <w:pageBreakBefore w:val="0"/>
        <w:widowControl w:val="0"/>
        <w:kinsoku/>
        <w:wordWrap/>
        <w:overflowPunct/>
        <w:topLinePunct w:val="0"/>
        <w:autoSpaceDE/>
        <w:autoSpaceDN/>
        <w:bidi w:val="0"/>
        <w:adjustRightInd/>
        <w:snapToGrid/>
        <w:spacing w:line="920" w:lineRule="exact"/>
        <w:ind w:left="-210" w:leftChars="-100" w:right="-210" w:rightChars="-100"/>
        <w:jc w:val="center"/>
        <w:textAlignment w:val="auto"/>
        <w:rPr>
          <w:rFonts w:hint="eastAsia" w:ascii="仿宋_GB2312" w:hAnsi="仿宋_GB2312" w:eastAsia="仿宋_GB2312" w:cs="仿宋_GB2312"/>
          <w:b/>
          <w:bCs/>
          <w:color w:val="auto"/>
          <w:spacing w:val="-20"/>
          <w:w w:val="50"/>
          <w:sz w:val="32"/>
          <w:szCs w:val="32"/>
          <w:lang w:val="en-US" w:eastAsia="zh-CN"/>
        </w:rPr>
      </w:pPr>
      <w:r>
        <w:rPr>
          <w:rFonts w:hint="eastAsia" w:ascii="仿宋_GB2312" w:hAnsi="仿宋_GB2312" w:eastAsia="仿宋_GB2312" w:cs="仿宋_GB2312"/>
          <w:color w:val="auto"/>
          <w:sz w:val="32"/>
          <w:lang w:val="en-US" w:eastAsia="zh-CN"/>
        </w:rPr>
        <w:t>聊商务字〔2024〕23号</w:t>
      </w:r>
    </w:p>
    <w:p>
      <w:pPr>
        <w:jc w:val="both"/>
        <w:rPr>
          <w:color w:val="auto"/>
          <w:szCs w:val="22"/>
        </w:rPr>
      </w:pPr>
      <w:r>
        <w:rPr>
          <w:color w:val="auto"/>
          <w:szCs w:val="22"/>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85090</wp:posOffset>
                </wp:positionV>
                <wp:extent cx="5705475" cy="0"/>
                <wp:effectExtent l="0" t="13970" r="9525" b="2413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8575">
                          <a:solidFill>
                            <a:srgbClr val="FD6009"/>
                          </a:solidFill>
                          <a:round/>
                        </a:ln>
                        <a:effectLst/>
                      </wps:spPr>
                      <wps:bodyPr/>
                    </wps:wsp>
                  </a:graphicData>
                </a:graphic>
              </wp:anchor>
            </w:drawing>
          </mc:Choice>
          <mc:Fallback>
            <w:pict>
              <v:shape id="_x0000_s1026" o:spid="_x0000_s1026" o:spt="32" type="#_x0000_t32" style="position:absolute;left:0pt;margin-left:-19.5pt;margin-top:6.7pt;height:0pt;width:449.25pt;z-index:251659264;mso-width-relative:page;mso-height-relative:page;" filled="f" stroked="t" coordsize="21600,21600" o:gfxdata="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">
                <v:fill on="f" focussize="0,0"/>
                <v:stroke weight="2.25pt" color="#FD6009" joinstyle="round"/>
                <v:imagedata o:title=""/>
                <o:lock v:ext="edit" aspectratio="f"/>
              </v:shape>
            </w:pict>
          </mc:Fallback>
        </mc:AlternateContent>
      </w:r>
    </w:p>
    <w:p>
      <w:p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关于印发《聊城市城市一刻钟便民生活圈建设实施方案》的通知</w:t>
      </w:r>
    </w:p>
    <w:p>
      <w:pPr>
        <w:spacing w:line="560" w:lineRule="exact"/>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县（市、区）、市属开发区商务、发展改革、教育体育、民政、财政、人力资源社会保障、自然资源和规划、住房城乡建设、文化和旅游、卫生健康、行政审批、市场监管、城管、税务、邮政管理部门，各金融监管支局</w:t>
      </w:r>
      <w:bookmarkStart w:id="0" w:name="_GoBack"/>
      <w:bookmarkEnd w:id="0"/>
      <w:r>
        <w:rPr>
          <w:rFonts w:hint="eastAsia" w:ascii="仿宋_GB2312" w:hAnsi="仿宋_GB2312" w:eastAsia="仿宋_GB2312" w:cs="仿宋_GB2312"/>
          <w:color w:val="auto"/>
          <w:sz w:val="32"/>
          <w:szCs w:val="32"/>
          <w:lang w:val="en-US" w:eastAsia="zh-CN"/>
        </w:rPr>
        <w:t>：</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为贯彻落实省商务厅等14</w:t>
      </w:r>
      <w:r>
        <w:rPr>
          <w:rFonts w:hint="eastAsia" w:ascii="仿宋_GB2312" w:hAnsi="仿宋_GB2312" w:eastAsia="仿宋_GB2312" w:cs="仿宋_GB2312"/>
          <w:color w:val="auto"/>
          <w:sz w:val="32"/>
          <w:szCs w:val="32"/>
          <w:lang w:val="en-US" w:eastAsia="zh-CN"/>
        </w:rPr>
        <w:t>部门《关于印发&lt;山东省推进城市一刻钟便民生活圈建设实施方案&gt;的通知》等文件要求，全面推进我市城市一刻钟便民生活圈建设，市商务局等17部门研究制定了《聊城市城市一刻钟便民生活圈建设实施方案》。现印发给你们，请结合实际认真抓好贯彻落实。</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spacing w:line="560" w:lineRule="exact"/>
        <w:jc w:val="left"/>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聊城市商务局           聊城市发展和改革委员会</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聊城市教育和体育局     聊城市民政局</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聊城市财政局           聊城市人力资源和社会保障局</w:t>
      </w:r>
    </w:p>
    <w:p>
      <w:pPr>
        <w:pStyle w:val="2"/>
        <w:ind w:left="0" w:leftChars="0" w:firstLine="0" w:firstLineChars="0"/>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聊城市自然资源和规划局     聊城市住房和城乡建设局</w:t>
      </w:r>
    </w:p>
    <w:p>
      <w:pPr>
        <w:spacing w:line="560" w:lineRule="exact"/>
        <w:jc w:val="left"/>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聊城市文化和旅游局         聊城市卫生健康委员会</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聊城市行政审批服务局       聊城市市场监督管理局</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聊城市城市管理局           聊城市税务局</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color w:val="auto"/>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聊城市邮政管理局           中国人民银行聊城市分行</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p>
    <w:p>
      <w:pPr>
        <w:spacing w:line="560" w:lineRule="exact"/>
        <w:jc w:val="left"/>
        <w:rPr>
          <w:rFonts w:hint="eastAsia" w:ascii="仿宋_GB2312" w:hAnsi="仿宋_GB2312" w:eastAsia="仿宋_GB2312" w:cs="仿宋_GB2312"/>
          <w:color w:val="auto"/>
          <w:sz w:val="32"/>
          <w:szCs w:val="32"/>
          <w:lang w:val="en-US" w:eastAsia="zh-CN"/>
        </w:rPr>
      </w:pPr>
    </w:p>
    <w:p>
      <w:pPr>
        <w:spacing w:line="560" w:lineRule="exact"/>
        <w:ind w:firstLine="3520" w:firstLineChars="11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国家金融监督管理总局聊城监管分局</w:t>
      </w:r>
    </w:p>
    <w:p>
      <w:pPr>
        <w:pStyle w:val="2"/>
        <w:rPr>
          <w:rFonts w:hint="eastAsia"/>
          <w:color w:val="auto"/>
          <w:lang w:val="en-US"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2024年5月24日</w:t>
      </w:r>
    </w:p>
    <w:p>
      <w:pPr>
        <w:pStyle w:val="2"/>
        <w:ind w:left="0" w:leftChars="0" w:firstLine="0" w:firstLineChars="0"/>
        <w:rPr>
          <w:rFonts w:hint="eastAsia"/>
          <w:color w:val="auto"/>
          <w:lang w:val="en-US" w:eastAsia="zh-CN"/>
        </w:rPr>
        <w:sectPr>
          <w:footerReference r:id="rId5" w:type="default"/>
          <w:pgSz w:w="11906" w:h="16838"/>
          <w:pgMar w:top="1701" w:right="1587" w:bottom="1587" w:left="1587" w:header="851" w:footer="992" w:gutter="0"/>
          <w:pgNumType w:fmt="decimal" w:start="1"/>
          <w:cols w:space="425" w:num="1"/>
          <w:docGrid w:type="lines" w:linePitch="312" w:charSpace="0"/>
        </w:sectPr>
      </w:pPr>
      <w:r>
        <w:rPr>
          <w:rFonts w:hint="eastAsia" w:ascii="仿宋_GB2312" w:hAnsi="仿宋_GB2312" w:eastAsia="仿宋_GB2312" w:cs="仿宋_GB2312"/>
          <w:color w:val="auto"/>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聊城市城市一刻钟</w:t>
      </w:r>
      <w:r>
        <w:rPr>
          <w:rFonts w:hint="eastAsia" w:ascii="方正小标宋简体" w:hAnsi="方正小标宋简体" w:eastAsia="方正小标宋简体" w:cs="方正小标宋简体"/>
          <w:b w:val="0"/>
          <w:bCs w:val="0"/>
          <w:color w:val="auto"/>
          <w:sz w:val="44"/>
          <w:szCs w:val="44"/>
          <w:highlight w:val="none"/>
        </w:rPr>
        <w:t>便民生活圈</w:t>
      </w:r>
      <w:r>
        <w:rPr>
          <w:rFonts w:hint="eastAsia" w:ascii="方正小标宋简体" w:hAnsi="方正小标宋简体" w:eastAsia="方正小标宋简体" w:cs="方正小标宋简体"/>
          <w:b w:val="0"/>
          <w:bCs w:val="0"/>
          <w:color w:val="auto"/>
          <w:sz w:val="44"/>
          <w:szCs w:val="44"/>
          <w:highlight w:val="none"/>
          <w:lang w:eastAsia="zh-CN"/>
        </w:rPr>
        <w:t>建设实施方案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方正小标宋简体" w:hAnsi="方正小标宋简体" w:eastAsia="方正小标宋简体" w:cs="方正小标宋简体"/>
          <w:b w:val="0"/>
          <w:bCs w:val="0"/>
          <w:color w:val="auto"/>
          <w:sz w:val="32"/>
          <w:szCs w:val="32"/>
          <w:highlight w:val="none"/>
          <w:lang w:eastAsia="zh-CN"/>
        </w:rPr>
      </w:pPr>
      <w:r>
        <w:rPr>
          <w:rFonts w:ascii="仿宋_GB2312" w:eastAsia="仿宋_GB2312"/>
          <w:color w:val="auto"/>
          <w:sz w:val="32"/>
          <w:szCs w:val="32"/>
          <w:highlight w:val="none"/>
        </w:rPr>
        <w:t>为深入贯彻党的</w:t>
      </w:r>
      <w:r>
        <w:rPr>
          <w:rFonts w:hint="eastAsia" w:ascii="仿宋_GB2312" w:eastAsia="仿宋_GB2312"/>
          <w:color w:val="auto"/>
          <w:sz w:val="32"/>
          <w:szCs w:val="32"/>
          <w:highlight w:val="none"/>
          <w:lang w:eastAsia="zh-CN"/>
        </w:rPr>
        <w:t>二十大</w:t>
      </w:r>
      <w:r>
        <w:rPr>
          <w:rFonts w:ascii="仿宋_GB2312" w:eastAsia="仿宋_GB2312"/>
          <w:color w:val="auto"/>
          <w:sz w:val="32"/>
          <w:szCs w:val="32"/>
          <w:highlight w:val="none"/>
        </w:rPr>
        <w:t>和中央经济工作会议精神，</w:t>
      </w:r>
      <w:r>
        <w:rPr>
          <w:rFonts w:hint="eastAsia" w:ascii="仿宋_GB2312" w:eastAsia="仿宋_GB2312"/>
          <w:color w:val="auto"/>
          <w:sz w:val="32"/>
          <w:szCs w:val="32"/>
          <w:highlight w:val="none"/>
        </w:rPr>
        <w:t>落实商务部等13部门办公厅（室）《全面推进城市一刻钟便民生活圈建设三年行动计划（2023-2025）》（商办流通函〔2023〕401号）</w:t>
      </w:r>
      <w:r>
        <w:rPr>
          <w:rFonts w:hint="eastAsia" w:ascii="仿宋_GB2312" w:eastAsia="仿宋_GB2312"/>
          <w:color w:val="auto"/>
          <w:sz w:val="32"/>
          <w:szCs w:val="32"/>
          <w:highlight w:val="none"/>
          <w:lang w:eastAsia="zh-CN"/>
        </w:rPr>
        <w:t>、省商务厅等</w:t>
      </w:r>
      <w:r>
        <w:rPr>
          <w:rFonts w:hint="eastAsia" w:ascii="仿宋_GB2312" w:eastAsia="仿宋_GB2312"/>
          <w:color w:val="auto"/>
          <w:sz w:val="32"/>
          <w:szCs w:val="32"/>
          <w:highlight w:val="none"/>
          <w:lang w:val="en-US" w:eastAsia="zh-CN"/>
        </w:rPr>
        <w:t>14部门《</w:t>
      </w:r>
      <w:r>
        <w:rPr>
          <w:rFonts w:hint="eastAsia" w:ascii="仿宋_GB2312" w:eastAsia="仿宋_GB2312"/>
          <w:color w:val="auto"/>
          <w:sz w:val="32"/>
          <w:szCs w:val="32"/>
          <w:highlight w:val="none"/>
        </w:rPr>
        <w:t>关于印发</w:t>
      </w:r>
      <w:r>
        <w:rPr>
          <w:rFonts w:hint="eastAsia" w:ascii="仿宋_GB2312" w:eastAsia="仿宋_GB2312"/>
          <w:color w:val="auto"/>
          <w:sz w:val="32"/>
          <w:szCs w:val="32"/>
          <w:highlight w:val="none"/>
          <w:lang w:val="en-US" w:eastAsia="zh-CN"/>
        </w:rPr>
        <w:t>&lt;</w:t>
      </w:r>
      <w:r>
        <w:rPr>
          <w:rFonts w:hint="eastAsia" w:ascii="仿宋_GB2312" w:eastAsia="仿宋_GB2312"/>
          <w:color w:val="auto"/>
          <w:sz w:val="32"/>
          <w:szCs w:val="32"/>
          <w:highlight w:val="none"/>
        </w:rPr>
        <w:t>山东省推进城市一刻钟便民生活圈建设实施方案</w:t>
      </w:r>
      <w:r>
        <w:rPr>
          <w:rFonts w:hint="eastAsia" w:ascii="仿宋_GB2312" w:eastAsia="仿宋_GB2312"/>
          <w:color w:val="auto"/>
          <w:sz w:val="32"/>
          <w:szCs w:val="32"/>
          <w:highlight w:val="none"/>
          <w:lang w:val="en-US" w:eastAsia="zh-CN"/>
        </w:rPr>
        <w:t>&gt;</w:t>
      </w:r>
      <w:r>
        <w:rPr>
          <w:rFonts w:hint="eastAsia" w:ascii="仿宋_GB2312" w:eastAsia="仿宋_GB2312"/>
          <w:color w:val="auto"/>
          <w:sz w:val="32"/>
          <w:szCs w:val="32"/>
          <w:highlight w:val="none"/>
        </w:rPr>
        <w:t>的通知</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等文件要求，全面推进</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eastAsia="zh-CN"/>
        </w:rPr>
        <w:t>市城市</w:t>
      </w:r>
      <w:r>
        <w:rPr>
          <w:rFonts w:hint="eastAsia" w:ascii="仿宋_GB2312" w:hAnsi="仿宋_GB2312" w:eastAsia="仿宋_GB2312" w:cs="仿宋_GB2312"/>
          <w:color w:val="auto"/>
          <w:sz w:val="32"/>
          <w:szCs w:val="32"/>
          <w:highlight w:val="none"/>
          <w:lang w:val="en-US" w:eastAsia="zh-CN"/>
        </w:rPr>
        <w:t>一刻</w:t>
      </w:r>
      <w:r>
        <w:rPr>
          <w:rFonts w:hint="eastAsia" w:ascii="仿宋_GB2312" w:hAnsi="仿宋_GB2312" w:eastAsia="仿宋_GB2312" w:cs="仿宋_GB2312"/>
          <w:color w:val="auto"/>
          <w:sz w:val="32"/>
          <w:szCs w:val="32"/>
          <w:highlight w:val="none"/>
        </w:rPr>
        <w:t>钟便民生活</w:t>
      </w:r>
      <w:r>
        <w:rPr>
          <w:rFonts w:hint="eastAsia" w:ascii="仿宋_GB2312" w:hAnsi="仿宋_GB2312" w:eastAsia="仿宋_GB2312" w:cs="仿宋_GB2312"/>
          <w:color w:val="auto"/>
          <w:sz w:val="32"/>
          <w:szCs w:val="32"/>
          <w:highlight w:val="none"/>
          <w:lang w:eastAsia="zh-CN"/>
        </w:rPr>
        <w:t>圈建设</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本实施</w:t>
      </w:r>
      <w:r>
        <w:rPr>
          <w:rFonts w:hint="eastAsia" w:ascii="仿宋_GB2312" w:hAnsi="仿宋_GB2312" w:eastAsia="仿宋_GB2312" w:cs="仿宋_GB2312"/>
          <w:color w:val="auto"/>
          <w:sz w:val="32"/>
          <w:szCs w:val="32"/>
          <w:highlight w:val="none"/>
        </w:rPr>
        <w:t>方案</w:t>
      </w:r>
      <w:r>
        <w:rPr>
          <w:rFonts w:hint="eastAsia" w:ascii="仿宋_GB2312" w:hAnsi="仿宋" w:eastAsia="仿宋_GB2312" w:cs="仿宋"/>
          <w:bCs/>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一、总体思路</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ascii="仿宋_GB2312" w:eastAsia="仿宋_GB2312"/>
          <w:color w:val="auto"/>
          <w:sz w:val="32"/>
          <w:szCs w:val="32"/>
          <w:highlight w:val="none"/>
        </w:rPr>
        <w:t>以习近平新时代中国特色社会主义思想为指导，把握新发展阶段，贯彻新发展理念，构建新发展格局</w:t>
      </w:r>
      <w:r>
        <w:rPr>
          <w:rFonts w:hint="eastAsia" w:ascii="仿宋_GB2312" w:eastAsia="仿宋_GB2312"/>
          <w:color w:val="auto"/>
          <w:sz w:val="32"/>
          <w:szCs w:val="32"/>
          <w:highlight w:val="none"/>
        </w:rPr>
        <w:t>，</w:t>
      </w:r>
      <w:r>
        <w:rPr>
          <w:rFonts w:ascii="仿宋_GB2312" w:eastAsia="仿宋_GB2312"/>
          <w:color w:val="auto"/>
          <w:sz w:val="32"/>
          <w:szCs w:val="32"/>
          <w:highlight w:val="none"/>
        </w:rPr>
        <w:t>坚持以人民为中心的发展</w:t>
      </w:r>
      <w:r>
        <w:rPr>
          <w:rFonts w:hint="eastAsia" w:ascii="仿宋_GB2312" w:eastAsia="仿宋_GB2312"/>
          <w:color w:val="auto"/>
          <w:sz w:val="32"/>
          <w:szCs w:val="32"/>
          <w:highlight w:val="none"/>
        </w:rPr>
        <w:t>思想</w:t>
      </w:r>
      <w:r>
        <w:rPr>
          <w:rFonts w:ascii="仿宋_GB2312" w:eastAsia="仿宋_GB2312"/>
          <w:color w:val="auto"/>
          <w:sz w:val="32"/>
          <w:szCs w:val="32"/>
          <w:highlight w:val="none"/>
        </w:rPr>
        <w:t>，</w:t>
      </w:r>
      <w:r>
        <w:rPr>
          <w:rFonts w:hint="eastAsia" w:ascii="仿宋_GB2312" w:eastAsia="仿宋_GB2312"/>
          <w:color w:val="auto"/>
          <w:sz w:val="32"/>
          <w:szCs w:val="32"/>
          <w:highlight w:val="none"/>
        </w:rPr>
        <w:t>坚持“问需于民、问计于民”“缺什么、补什么”“因城施策、一圈一策”的原则，</w:t>
      </w:r>
      <w:r>
        <w:rPr>
          <w:rFonts w:ascii="仿宋_GB2312" w:eastAsia="仿宋_GB2312"/>
          <w:color w:val="auto"/>
          <w:sz w:val="32"/>
          <w:szCs w:val="32"/>
          <w:highlight w:val="none"/>
        </w:rPr>
        <w:t>以</w:t>
      </w:r>
      <w:r>
        <w:rPr>
          <w:rFonts w:hint="eastAsia" w:ascii="仿宋_GB2312" w:eastAsia="仿宋_GB2312"/>
          <w:color w:val="auto"/>
          <w:sz w:val="32"/>
          <w:szCs w:val="32"/>
          <w:highlight w:val="none"/>
          <w:lang w:eastAsia="zh-CN"/>
        </w:rPr>
        <w:t>中心</w:t>
      </w:r>
      <w:r>
        <w:rPr>
          <w:rFonts w:ascii="仿宋_GB2312" w:eastAsia="仿宋_GB2312"/>
          <w:color w:val="auto"/>
          <w:sz w:val="32"/>
          <w:szCs w:val="32"/>
          <w:highlight w:val="none"/>
        </w:rPr>
        <w:t>城</w:t>
      </w:r>
      <w:r>
        <w:rPr>
          <w:rFonts w:hint="eastAsia" w:ascii="仿宋_GB2312" w:eastAsia="仿宋_GB2312"/>
          <w:color w:val="auto"/>
          <w:sz w:val="32"/>
          <w:szCs w:val="32"/>
          <w:highlight w:val="none"/>
          <w:lang w:eastAsia="zh-CN"/>
        </w:rPr>
        <w:t>区</w:t>
      </w:r>
      <w:r>
        <w:rPr>
          <w:rFonts w:ascii="仿宋_GB2312" w:eastAsia="仿宋_GB2312"/>
          <w:color w:val="auto"/>
          <w:sz w:val="32"/>
          <w:szCs w:val="32"/>
          <w:highlight w:val="none"/>
        </w:rPr>
        <w:t>为实施主体，充分</w:t>
      </w:r>
      <w:r>
        <w:rPr>
          <w:rFonts w:hint="eastAsia" w:ascii="仿宋_GB2312" w:eastAsia="仿宋_GB2312"/>
          <w:color w:val="auto"/>
          <w:sz w:val="32"/>
          <w:szCs w:val="32"/>
          <w:highlight w:val="none"/>
          <w:lang w:eastAsia="zh-CN"/>
        </w:rPr>
        <w:t>发挥</w:t>
      </w:r>
      <w:r>
        <w:rPr>
          <w:rFonts w:ascii="仿宋_GB2312" w:eastAsia="仿宋_GB2312"/>
          <w:color w:val="auto"/>
          <w:sz w:val="32"/>
          <w:szCs w:val="32"/>
          <w:highlight w:val="none"/>
        </w:rPr>
        <w:t>区、街道积极性，</w:t>
      </w:r>
      <w:r>
        <w:rPr>
          <w:rFonts w:ascii="Times New Roman" w:hAnsi="Times New Roman" w:eastAsia="仿宋_GB2312" w:cs="Times New Roman"/>
          <w:color w:val="auto"/>
          <w:sz w:val="32"/>
          <w:szCs w:val="32"/>
        </w:rPr>
        <w:t>建立市、区、街道联动机制，</w:t>
      </w:r>
      <w:r>
        <w:rPr>
          <w:rFonts w:hint="eastAsia" w:ascii="仿宋_GB2312" w:hAnsi="仿宋_GB2312" w:eastAsia="仿宋_GB2312" w:cs="仿宋_GB2312"/>
          <w:color w:val="auto"/>
          <w:sz w:val="32"/>
          <w:szCs w:val="32"/>
          <w:highlight w:val="none"/>
        </w:rPr>
        <w:t>高标准构建功能</w:t>
      </w:r>
      <w:r>
        <w:rPr>
          <w:rFonts w:hint="eastAsia" w:ascii="仿宋_GB2312" w:hAnsi="仿宋_GB2312" w:eastAsia="仿宋_GB2312" w:cs="仿宋_GB2312"/>
          <w:color w:val="auto"/>
          <w:sz w:val="32"/>
          <w:szCs w:val="32"/>
          <w:highlight w:val="none"/>
          <w:lang w:eastAsia="zh-CN"/>
        </w:rPr>
        <w:t>完备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业态丰富、服务</w:t>
      </w:r>
      <w:r>
        <w:rPr>
          <w:rFonts w:hint="eastAsia" w:ascii="仿宋_GB2312" w:hAnsi="仿宋_GB2312" w:eastAsia="仿宋_GB2312" w:cs="仿宋_GB2312"/>
          <w:color w:val="auto"/>
          <w:sz w:val="32"/>
          <w:szCs w:val="32"/>
          <w:highlight w:val="none"/>
        </w:rPr>
        <w:t>便捷、</w:t>
      </w:r>
      <w:r>
        <w:rPr>
          <w:rFonts w:hint="eastAsia" w:ascii="仿宋_GB2312" w:hAnsi="仿宋_GB2312" w:eastAsia="仿宋_GB2312" w:cs="仿宋_GB2312"/>
          <w:color w:val="auto"/>
          <w:sz w:val="32"/>
          <w:szCs w:val="32"/>
          <w:highlight w:val="none"/>
          <w:lang w:eastAsia="zh-CN"/>
        </w:rPr>
        <w:t>经营规范的</w:t>
      </w:r>
      <w:r>
        <w:rPr>
          <w:rFonts w:hint="eastAsia" w:ascii="仿宋_GB2312" w:hAnsi="仿宋_GB2312" w:eastAsia="仿宋_GB2312" w:cs="仿宋_GB2312"/>
          <w:color w:val="auto"/>
          <w:sz w:val="32"/>
          <w:szCs w:val="32"/>
          <w:highlight w:val="none"/>
        </w:rPr>
        <w:t>便民服务体系，</w:t>
      </w:r>
      <w:r>
        <w:rPr>
          <w:rFonts w:ascii="仿宋_GB2312" w:eastAsia="仿宋_GB2312"/>
          <w:color w:val="auto"/>
          <w:sz w:val="32"/>
          <w:szCs w:val="32"/>
          <w:highlight w:val="none"/>
        </w:rPr>
        <w:t>提高社区商业服务的便利化、标准化、智慧化、品质化水平</w:t>
      </w:r>
      <w:r>
        <w:rPr>
          <w:rFonts w:hint="eastAsia" w:ascii="仿宋_GB2312" w:eastAsia="仿宋_GB2312"/>
          <w:color w:val="auto"/>
          <w:sz w:val="32"/>
          <w:szCs w:val="32"/>
          <w:highlight w:val="none"/>
        </w:rPr>
        <w:t>，</w:t>
      </w:r>
      <w:r>
        <w:rPr>
          <w:rFonts w:ascii="仿宋_GB2312" w:eastAsia="仿宋_GB2312"/>
          <w:color w:val="auto"/>
          <w:sz w:val="32"/>
          <w:szCs w:val="32"/>
          <w:highlight w:val="none"/>
        </w:rPr>
        <w:t>将</w:t>
      </w:r>
      <w:r>
        <w:rPr>
          <w:rFonts w:hint="eastAsia" w:ascii="仿宋_GB2312" w:eastAsia="仿宋_GB2312"/>
          <w:color w:val="auto"/>
          <w:sz w:val="32"/>
          <w:szCs w:val="32"/>
          <w:highlight w:val="none"/>
          <w:lang w:eastAsia="zh-CN"/>
        </w:rPr>
        <w:t>一刻钟</w:t>
      </w:r>
      <w:r>
        <w:rPr>
          <w:rFonts w:ascii="仿宋_GB2312" w:eastAsia="仿宋_GB2312"/>
          <w:color w:val="auto"/>
          <w:sz w:val="32"/>
          <w:szCs w:val="32"/>
          <w:highlight w:val="none"/>
        </w:rPr>
        <w:t>便民生活圈打造成为服务保障民生、促进便利消费和扩大就业的重要平台和载体</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更好满足</w:t>
      </w:r>
      <w:r>
        <w:rPr>
          <w:rFonts w:hint="eastAsia" w:ascii="仿宋_GB2312" w:hAnsi="仿宋_GB2312" w:eastAsia="仿宋_GB2312" w:cs="仿宋_GB2312"/>
          <w:color w:val="auto"/>
          <w:sz w:val="32"/>
          <w:szCs w:val="32"/>
          <w:highlight w:val="none"/>
          <w:lang w:eastAsia="zh-CN"/>
        </w:rPr>
        <w:t>市区群众</w:t>
      </w:r>
      <w:r>
        <w:rPr>
          <w:rFonts w:hint="eastAsia" w:ascii="仿宋_GB2312" w:hAnsi="仿宋_GB2312" w:eastAsia="仿宋_GB2312" w:cs="仿宋_GB2312"/>
          <w:color w:val="auto"/>
          <w:sz w:val="32"/>
          <w:szCs w:val="32"/>
          <w:highlight w:val="none"/>
        </w:rPr>
        <w:t>日益增长的</w:t>
      </w:r>
      <w:r>
        <w:rPr>
          <w:rFonts w:hint="eastAsia" w:ascii="仿宋_GB2312" w:hAnsi="仿宋_GB2312" w:eastAsia="仿宋_GB2312" w:cs="仿宋_GB2312"/>
          <w:color w:val="auto"/>
          <w:sz w:val="32"/>
          <w:szCs w:val="32"/>
          <w:highlight w:val="none"/>
          <w:lang w:eastAsia="zh-CN"/>
        </w:rPr>
        <w:t>生活</w:t>
      </w:r>
      <w:r>
        <w:rPr>
          <w:rFonts w:hint="eastAsia" w:ascii="仿宋_GB2312" w:hAnsi="仿宋_GB2312" w:eastAsia="仿宋_GB2312" w:cs="仿宋_GB2312"/>
          <w:color w:val="auto"/>
          <w:sz w:val="32"/>
          <w:szCs w:val="32"/>
          <w:highlight w:val="none"/>
        </w:rPr>
        <w:t>服务需求。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二、基本原则</w:t>
      </w:r>
    </w:p>
    <w:p>
      <w:pPr>
        <w:keepNext w:val="0"/>
        <w:keepLines w:val="0"/>
        <w:pageBreakBefore w:val="0"/>
        <w:widowControl w:val="0"/>
        <w:wordWrap/>
        <w:topLinePunct w:val="0"/>
        <w:autoSpaceDE/>
        <w:autoSpaceDN/>
        <w:bidi w:val="0"/>
        <w:adjustRightInd/>
        <w:snapToGrid/>
        <w:spacing w:line="600" w:lineRule="exact"/>
        <w:ind w:left="0" w:firstLine="640" w:firstLineChars="200"/>
        <w:textAlignment w:val="auto"/>
        <w:rPr>
          <w:rFonts w:ascii="Times New Roman" w:hAnsi="Times New Roman" w:eastAsia="楷体" w:cs="Times New Roman"/>
          <w:color w:val="auto"/>
          <w:sz w:val="32"/>
          <w:szCs w:val="32"/>
        </w:rPr>
      </w:pPr>
      <w:r>
        <w:rPr>
          <w:rFonts w:hint="eastAsia" w:ascii="楷体_GB2312" w:hAnsi="楷体_GB2312" w:eastAsia="楷体_GB2312" w:cs="楷体_GB2312"/>
          <w:color w:val="auto"/>
          <w:sz w:val="32"/>
          <w:szCs w:val="32"/>
        </w:rPr>
        <w:t>一是坚持便民利民。</w:t>
      </w:r>
      <w:r>
        <w:rPr>
          <w:rFonts w:hint="eastAsia" w:ascii="Times New Roman" w:hAnsi="Times New Roman" w:eastAsia="仿宋_GB2312" w:cs="Times New Roman"/>
          <w:color w:val="auto"/>
          <w:sz w:val="32"/>
          <w:szCs w:val="32"/>
          <w:lang w:eastAsia="zh-CN"/>
        </w:rPr>
        <w:t>坚持</w:t>
      </w:r>
      <w:r>
        <w:rPr>
          <w:rFonts w:ascii="Times New Roman" w:hAnsi="Times New Roman" w:eastAsia="仿宋_GB2312" w:cs="Times New Roman"/>
          <w:color w:val="auto"/>
          <w:sz w:val="32"/>
          <w:szCs w:val="32"/>
        </w:rPr>
        <w:t>以人民为中心</w:t>
      </w:r>
      <w:r>
        <w:rPr>
          <w:rFonts w:hint="eastAsia" w:ascii="Times New Roman" w:hAnsi="Times New Roman" w:eastAsia="仿宋_GB2312" w:cs="Times New Roman"/>
          <w:color w:val="auto"/>
          <w:sz w:val="32"/>
          <w:szCs w:val="32"/>
          <w:lang w:eastAsia="zh-CN"/>
        </w:rPr>
        <w:t>的发展</w:t>
      </w:r>
      <w:r>
        <w:rPr>
          <w:rFonts w:ascii="Times New Roman" w:hAnsi="Times New Roman" w:eastAsia="仿宋_GB2312" w:cs="Times New Roman"/>
          <w:color w:val="auto"/>
          <w:sz w:val="32"/>
          <w:szCs w:val="32"/>
        </w:rPr>
        <w:t>思想，围绕市区居民生活消费需求，立足保基本、提品质</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统筹兼顾，构建多层次、全方位、一站式的便民服务体系。</w:t>
      </w:r>
      <w:r>
        <w:rPr>
          <w:rFonts w:ascii="Times New Roman" w:hAnsi="仿宋_GB2312" w:eastAsia="仿宋_GB2312" w:cs="Times New Roman"/>
          <w:color w:val="auto"/>
          <w:sz w:val="32"/>
          <w:szCs w:val="32"/>
        </w:rPr>
        <w:t>根据社区服务人口的规模、社区环境、居民消费水平和消费特点，确立设置社区便民商圈规模，差异化引进消费和服务业态，满足社区不同居民日常生活需求。</w:t>
      </w:r>
    </w:p>
    <w:p>
      <w:pPr>
        <w:keepNext w:val="0"/>
        <w:keepLines w:val="0"/>
        <w:pageBreakBefore w:val="0"/>
        <w:widowControl w:val="0"/>
        <w:wordWrap/>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二是坚持因地制宜。</w:t>
      </w:r>
      <w:r>
        <w:rPr>
          <w:rFonts w:ascii="Times New Roman" w:hAnsi="仿宋_GB2312" w:eastAsia="仿宋_GB2312" w:cs="Times New Roman"/>
          <w:color w:val="auto"/>
          <w:sz w:val="32"/>
          <w:szCs w:val="32"/>
        </w:rPr>
        <w:t>发挥政府引导、市场主导作用，遵循市场规律，不搞</w:t>
      </w:r>
      <w:r>
        <w:rPr>
          <w:rFonts w:hint="eastAsia" w:ascii="Times New Roman" w:hAnsi="仿宋_GB2312" w:eastAsia="仿宋_GB2312" w:cs="Times New Roman"/>
          <w:color w:val="auto"/>
          <w:sz w:val="32"/>
          <w:szCs w:val="32"/>
          <w:lang w:eastAsia="zh-CN"/>
        </w:rPr>
        <w:t>“</w:t>
      </w:r>
      <w:r>
        <w:rPr>
          <w:rFonts w:ascii="Times New Roman" w:hAnsi="仿宋_GB2312" w:eastAsia="仿宋_GB2312" w:cs="Times New Roman"/>
          <w:color w:val="auto"/>
          <w:sz w:val="32"/>
          <w:szCs w:val="32"/>
        </w:rPr>
        <w:t>一刀切</w:t>
      </w:r>
      <w:r>
        <w:rPr>
          <w:rFonts w:hint="eastAsia" w:ascii="Times New Roman" w:hAnsi="仿宋_GB2312" w:eastAsia="仿宋_GB2312" w:cs="Times New Roman"/>
          <w:color w:val="auto"/>
          <w:sz w:val="32"/>
          <w:szCs w:val="32"/>
          <w:lang w:eastAsia="zh-CN"/>
        </w:rPr>
        <w:t>”</w:t>
      </w:r>
      <w:r>
        <w:rPr>
          <w:rFonts w:ascii="Times New Roman" w:hAnsi="仿宋_GB2312" w:eastAsia="仿宋_GB2312" w:cs="Times New Roman"/>
          <w:color w:val="auto"/>
          <w:sz w:val="32"/>
          <w:szCs w:val="32"/>
        </w:rPr>
        <w:t>，聚焦补短板、堵漏洞、强弱项，推动设施配套化、服务多元化，不断提高服务水平，满足不同群体的消费需求，提升居民消费体验。</w:t>
      </w:r>
    </w:p>
    <w:p>
      <w:pPr>
        <w:keepNext w:val="0"/>
        <w:keepLines w:val="0"/>
        <w:pageBreakBefore w:val="0"/>
        <w:widowControl w:val="0"/>
        <w:wordWrap/>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三是坚持多元发展。</w:t>
      </w:r>
      <w:r>
        <w:rPr>
          <w:rFonts w:ascii="Times New Roman" w:hAnsi="仿宋_GB2312" w:eastAsia="仿宋_GB2312" w:cs="Times New Roman"/>
          <w:color w:val="auto"/>
          <w:sz w:val="32"/>
          <w:szCs w:val="32"/>
        </w:rPr>
        <w:t>以保障人民群众基本消费服务供给为重点，提供安全、便捷、实惠、绿色的大众化服务。推动现代连锁经营、</w:t>
      </w:r>
      <w:r>
        <w:rPr>
          <w:rFonts w:hint="eastAsia" w:ascii="Times New Roman" w:hAnsi="仿宋_GB2312" w:eastAsia="仿宋_GB2312" w:cs="Times New Roman"/>
          <w:color w:val="auto"/>
          <w:sz w:val="32"/>
          <w:szCs w:val="32"/>
          <w:lang w:eastAsia="zh-CN"/>
        </w:rPr>
        <w:t>商贸</w:t>
      </w:r>
      <w:r>
        <w:rPr>
          <w:rFonts w:ascii="Times New Roman" w:hAnsi="仿宋_GB2312" w:eastAsia="仿宋_GB2312" w:cs="Times New Roman"/>
          <w:color w:val="auto"/>
          <w:sz w:val="32"/>
          <w:szCs w:val="32"/>
        </w:rPr>
        <w:t>物流、电子商务等现代流通方式与社区商业服务业深度融合，加快</w:t>
      </w:r>
      <w:r>
        <w:rPr>
          <w:rFonts w:hint="eastAsia" w:ascii="Times New Roman" w:hAnsi="仿宋_GB2312" w:eastAsia="仿宋_GB2312" w:cs="Times New Roman"/>
          <w:color w:val="auto"/>
          <w:sz w:val="32"/>
          <w:szCs w:val="32"/>
          <w:lang w:eastAsia="zh-CN"/>
        </w:rPr>
        <w:t>“</w:t>
      </w:r>
      <w:r>
        <w:rPr>
          <w:rFonts w:ascii="Times New Roman" w:hAnsi="仿宋_GB2312" w:eastAsia="仿宋_GB2312" w:cs="Times New Roman"/>
          <w:color w:val="auto"/>
          <w:sz w:val="32"/>
          <w:szCs w:val="32"/>
        </w:rPr>
        <w:t>互联网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社</w:t>
      </w:r>
      <w:r>
        <w:rPr>
          <w:rFonts w:ascii="Times New Roman" w:hAnsi="仿宋_GB2312" w:eastAsia="仿宋_GB2312" w:cs="Times New Roman"/>
          <w:color w:val="auto"/>
          <w:sz w:val="32"/>
          <w:szCs w:val="32"/>
        </w:rPr>
        <w:t>区商业</w:t>
      </w:r>
      <w:r>
        <w:rPr>
          <w:rFonts w:hint="eastAsia" w:ascii="Times New Roman" w:hAnsi="仿宋_GB2312" w:eastAsia="仿宋_GB2312" w:cs="Times New Roman"/>
          <w:color w:val="auto"/>
          <w:sz w:val="32"/>
          <w:szCs w:val="32"/>
          <w:lang w:eastAsia="zh-CN"/>
        </w:rPr>
        <w:t>”</w:t>
      </w:r>
      <w:r>
        <w:rPr>
          <w:rFonts w:ascii="Times New Roman" w:hAnsi="仿宋_GB2312" w:eastAsia="仿宋_GB2312" w:cs="Times New Roman"/>
          <w:color w:val="auto"/>
          <w:sz w:val="32"/>
          <w:szCs w:val="32"/>
        </w:rPr>
        <w:t>模式创新，通过先进的商业发展理念，创新社区商业业态的自我完善机制，提升社区商业持续发展动能。</w:t>
      </w:r>
    </w:p>
    <w:p>
      <w:pPr>
        <w:keepNext w:val="0"/>
        <w:keepLines w:val="0"/>
        <w:pageBreakBefore w:val="0"/>
        <w:widowControl w:val="0"/>
        <w:wordWrap/>
        <w:topLinePunct w:val="0"/>
        <w:autoSpaceDE/>
        <w:autoSpaceDN/>
        <w:bidi w:val="0"/>
        <w:adjustRightInd/>
        <w:snapToGrid/>
        <w:spacing w:line="600" w:lineRule="exact"/>
        <w:ind w:left="0" w:firstLine="640" w:firstLineChars="200"/>
        <w:textAlignment w:val="auto"/>
        <w:rPr>
          <w:rFonts w:hint="eastAsia" w:ascii="Times New Roman" w:hAnsi="Times New Roman" w:eastAsia="仿宋" w:cs="Times New Roman"/>
          <w:color w:val="auto"/>
          <w:sz w:val="32"/>
          <w:szCs w:val="32"/>
        </w:rPr>
      </w:pPr>
      <w:r>
        <w:rPr>
          <w:rFonts w:hint="eastAsia" w:ascii="楷体_GB2312" w:hAnsi="楷体_GB2312" w:eastAsia="楷体_GB2312" w:cs="楷体_GB2312"/>
          <w:color w:val="auto"/>
          <w:sz w:val="32"/>
          <w:szCs w:val="32"/>
        </w:rPr>
        <w:t>四是坚持资源统筹。</w:t>
      </w:r>
      <w:r>
        <w:rPr>
          <w:rFonts w:ascii="Times New Roman" w:hAnsi="仿宋_GB2312" w:eastAsia="仿宋_GB2312" w:cs="Times New Roman"/>
          <w:color w:val="auto"/>
          <w:sz w:val="32"/>
          <w:szCs w:val="32"/>
        </w:rPr>
        <w:t>充分发挥现有社区服务设施和网络作用，逐步整合社区商业与社区其他服务设施资源，最大限度降低社会成本。加强社区商业服务体系规范化建设，建立健全科学高效的社区商业服务管理运行机制。</w:t>
      </w:r>
    </w:p>
    <w:p>
      <w:pPr>
        <w:keepNext w:val="0"/>
        <w:keepLines w:val="0"/>
        <w:pageBreakBefore w:val="0"/>
        <w:widowControl w:val="0"/>
        <w:wordWrap/>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color w:val="auto"/>
          <w:sz w:val="32"/>
          <w:szCs w:val="32"/>
          <w:highlight w:val="none"/>
          <w:lang w:eastAsia="zh-CN"/>
        </w:rPr>
      </w:pPr>
      <w:r>
        <w:rPr>
          <w:rFonts w:hint="eastAsia" w:ascii="楷体_GB2312" w:hAnsi="楷体_GB2312" w:eastAsia="楷体_GB2312" w:cs="楷体_GB2312"/>
          <w:color w:val="auto"/>
          <w:sz w:val="32"/>
          <w:szCs w:val="32"/>
        </w:rPr>
        <w:t>五是坚持市场主导。</w:t>
      </w:r>
      <w:r>
        <w:rPr>
          <w:rFonts w:ascii="Times New Roman" w:hAnsi="仿宋_GB2312" w:eastAsia="仿宋_GB2312" w:cs="Times New Roman"/>
          <w:color w:val="auto"/>
          <w:sz w:val="32"/>
          <w:szCs w:val="32"/>
        </w:rPr>
        <w:t>鼓励社会资本积极参与社区便民生活圈建设，发挥政府在规划制定、政策引导、监督管理等方面的主导作用，充分利用资金、政策等杠杆，引导企业特别是品牌连锁企业参与社区商业经营活动，逐步形成政府引导、社会参与、企业投入、市场运作的良性发展机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工作目标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（一）总体目标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到</w:t>
      </w:r>
      <w:r>
        <w:rPr>
          <w:rFonts w:hint="eastAsia" w:ascii="仿宋_GB2312" w:hAnsi="仿宋_GB2312" w:eastAsia="仿宋_GB2312" w:cs="仿宋_GB2312"/>
          <w:color w:val="auto"/>
          <w:sz w:val="32"/>
          <w:szCs w:val="32"/>
          <w:highlight w:val="none"/>
          <w:lang w:val="en-US" w:eastAsia="zh-CN"/>
        </w:rPr>
        <w:t>2025年，</w:t>
      </w:r>
      <w:r>
        <w:rPr>
          <w:rFonts w:hint="eastAsia" w:ascii="仿宋_GB2312" w:hAnsi="仿宋_GB2312" w:eastAsia="仿宋_GB2312" w:cs="仿宋_GB2312"/>
          <w:color w:val="auto"/>
          <w:sz w:val="32"/>
          <w:szCs w:val="32"/>
          <w:highlight w:val="none"/>
        </w:rPr>
        <w:t>推动各</w:t>
      </w:r>
      <w:r>
        <w:rPr>
          <w:rFonts w:hint="eastAsia" w:ascii="仿宋_GB2312" w:hAnsi="仿宋_GB2312" w:eastAsia="仿宋_GB2312" w:cs="仿宋_GB2312"/>
          <w:color w:val="auto"/>
          <w:sz w:val="32"/>
          <w:szCs w:val="32"/>
          <w:highlight w:val="none"/>
          <w:lang w:eastAsia="zh-CN"/>
        </w:rPr>
        <w:t>区建设</w:t>
      </w:r>
      <w:r>
        <w:rPr>
          <w:rFonts w:hint="eastAsia" w:ascii="仿宋_GB2312" w:hAnsi="仿宋_GB2312" w:eastAsia="仿宋_GB2312" w:cs="仿宋_GB2312"/>
          <w:color w:val="auto"/>
          <w:sz w:val="32"/>
          <w:szCs w:val="32"/>
          <w:highlight w:val="none"/>
        </w:rPr>
        <w:t>一批布局合理、业态齐全、功能完善、智慧便捷、服务优质、商居和谐的城市便民生活圈，提升</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便利化、标准化、数字化、品质化水平，</w:t>
      </w:r>
      <w:r>
        <w:rPr>
          <w:rFonts w:hint="eastAsia" w:ascii="仿宋_GB2312" w:hAnsi="仿宋_GB2312" w:eastAsia="仿宋_GB2312" w:cs="仿宋_GB2312"/>
          <w:color w:val="auto"/>
          <w:sz w:val="32"/>
          <w:szCs w:val="32"/>
          <w:highlight w:val="none"/>
          <w:lang w:eastAsia="zh-CN"/>
        </w:rPr>
        <w:t>切实</w:t>
      </w:r>
      <w:r>
        <w:rPr>
          <w:rFonts w:hint="eastAsia" w:ascii="仿宋_GB2312" w:hAnsi="仿宋_GB2312" w:eastAsia="仿宋_GB2312" w:cs="仿宋_GB2312"/>
          <w:color w:val="auto"/>
          <w:sz w:val="32"/>
          <w:szCs w:val="32"/>
          <w:highlight w:val="none"/>
        </w:rPr>
        <w:t>增强人民生活幸福感、获得感、安全感。</w:t>
      </w:r>
      <w:r>
        <w:rPr>
          <w:rFonts w:hint="eastAsia" w:ascii="仿宋_GB2312" w:hAnsi="仿宋_GB2312" w:eastAsia="仿宋_GB2312" w:cs="仿宋_GB2312"/>
          <w:color w:val="auto"/>
          <w:sz w:val="32"/>
          <w:szCs w:val="32"/>
        </w:rPr>
        <w:t>力争</w:t>
      </w:r>
      <w:r>
        <w:rPr>
          <w:rFonts w:hint="eastAsia" w:ascii="仿宋_GB2312" w:hAnsi="仿宋_GB2312" w:eastAsia="仿宋_GB2312" w:cs="仿宋_GB2312"/>
          <w:color w:val="auto"/>
          <w:sz w:val="32"/>
          <w:szCs w:val="32"/>
          <w:lang w:eastAsia="zh-CN"/>
        </w:rPr>
        <w:t>到</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十四五</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末，基本实现便民生活圈主城区全覆盖。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（二）具体目标</w:t>
      </w:r>
    </w:p>
    <w:p>
      <w:pPr>
        <w:keepNext w:val="0"/>
        <w:keepLines w:val="0"/>
        <w:pageBreakBefore w:val="0"/>
        <w:widowControl w:val="0"/>
        <w:wordWrap/>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，重点</w:t>
      </w:r>
      <w:r>
        <w:rPr>
          <w:rFonts w:hint="eastAsia" w:ascii="仿宋_GB2312" w:hAnsi="仿宋_GB2312" w:eastAsia="仿宋_GB2312" w:cs="仿宋_GB2312"/>
          <w:color w:val="auto"/>
          <w:sz w:val="32"/>
          <w:szCs w:val="32"/>
        </w:rPr>
        <w:t>建设1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个一刻钟便民生活圈试点，</w:t>
      </w:r>
      <w:r>
        <w:rPr>
          <w:rFonts w:hint="eastAsia" w:ascii="仿宋_GB2312" w:hAnsi="仿宋_GB2312" w:eastAsia="仿宋_GB2312" w:cs="仿宋_GB2312"/>
          <w:color w:val="auto"/>
          <w:sz w:val="32"/>
          <w:szCs w:val="32"/>
          <w:lang w:eastAsia="zh-CN"/>
        </w:rPr>
        <w:t>以点带面推广建设，</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全市推广建设。</w:t>
      </w:r>
    </w:p>
    <w:p>
      <w:pPr>
        <w:keepNext w:val="0"/>
        <w:keepLines w:val="0"/>
        <w:pageBreakBefore w:val="0"/>
        <w:widowControl w:val="0"/>
        <w:numPr>
          <w:ilvl w:val="0"/>
          <w:numId w:val="0"/>
        </w:numPr>
        <w:wordWrap/>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1.东昌府区。</w:t>
      </w:r>
      <w:r>
        <w:rPr>
          <w:rFonts w:hint="eastAsia" w:ascii="仿宋_GB2312" w:hAnsi="仿宋_GB2312" w:eastAsia="仿宋_GB2312" w:cs="仿宋_GB2312"/>
          <w:color w:val="auto"/>
          <w:sz w:val="32"/>
          <w:szCs w:val="32"/>
          <w:lang w:val="en-US" w:eastAsia="zh-CN"/>
        </w:rPr>
        <w:t>重点打造湖南社区、光岳社区、和平社区、广场社区、八一社区等5个一刻钟便民生活圈。</w:t>
      </w:r>
    </w:p>
    <w:p>
      <w:pPr>
        <w:keepNext w:val="0"/>
        <w:keepLines w:val="0"/>
        <w:pageBreakBefore w:val="0"/>
        <w:widowControl w:val="0"/>
        <w:wordWrap/>
        <w:topLinePunct w:val="0"/>
        <w:autoSpaceDE/>
        <w:autoSpaceDN/>
        <w:bidi w:val="0"/>
        <w:adjustRightInd/>
        <w:snapToGrid/>
        <w:spacing w:line="600" w:lineRule="exact"/>
        <w:ind w:left="0" w:firstLine="642"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2.开发区。</w:t>
      </w:r>
      <w:r>
        <w:rPr>
          <w:rFonts w:hint="eastAsia" w:ascii="Times New Roman" w:hAnsi="Times New Roman" w:eastAsia="仿宋_GB2312" w:cs="Times New Roman"/>
          <w:color w:val="auto"/>
          <w:sz w:val="32"/>
          <w:szCs w:val="32"/>
          <w:lang w:val="en-US" w:eastAsia="zh-CN"/>
        </w:rPr>
        <w:t>重点打造御润财富城</w:t>
      </w:r>
      <w:r>
        <w:rPr>
          <w:rFonts w:hint="eastAsia" w:ascii="Times New Roman" w:hAnsi="Times New Roman" w:eastAsia="仿宋_GB2312" w:cs="Times New Roman"/>
          <w:color w:val="auto"/>
          <w:sz w:val="32"/>
          <w:szCs w:val="32"/>
          <w:lang w:eastAsia="zh-CN"/>
        </w:rPr>
        <w:t>一刻钟便民生活圈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当代</w:t>
      </w:r>
      <w:r>
        <w:rPr>
          <w:rFonts w:hint="eastAsia" w:ascii="Times New Roman" w:hAnsi="Times New Roman" w:eastAsia="仿宋_GB2312" w:cs="Times New Roman"/>
          <w:color w:val="auto"/>
          <w:sz w:val="32"/>
          <w:szCs w:val="32"/>
          <w:lang w:val="en-US" w:eastAsia="zh-CN"/>
        </w:rPr>
        <w:t>购物中心</w:t>
      </w:r>
      <w:r>
        <w:rPr>
          <w:rFonts w:hint="eastAsia" w:ascii="Times New Roman" w:hAnsi="Times New Roman" w:eastAsia="仿宋_GB2312" w:cs="Times New Roman"/>
          <w:color w:val="auto"/>
          <w:sz w:val="32"/>
          <w:szCs w:val="32"/>
          <w:lang w:eastAsia="zh-CN"/>
        </w:rPr>
        <w:t>一刻钟便民</w:t>
      </w:r>
      <w:r>
        <w:rPr>
          <w:rFonts w:hint="eastAsia" w:ascii="Times New Roman" w:hAnsi="Times New Roman" w:eastAsia="仿宋_GB2312" w:cs="Times New Roman"/>
          <w:color w:val="auto"/>
          <w:sz w:val="32"/>
          <w:szCs w:val="32"/>
          <w:lang w:val="en-US" w:eastAsia="zh-CN"/>
        </w:rPr>
        <w:t>生活圈。</w:t>
      </w:r>
    </w:p>
    <w:p>
      <w:pPr>
        <w:keepNext w:val="0"/>
        <w:keepLines w:val="0"/>
        <w:pageBreakBefore w:val="0"/>
        <w:widowControl w:val="0"/>
        <w:numPr>
          <w:ilvl w:val="0"/>
          <w:numId w:val="0"/>
        </w:numPr>
        <w:wordWrap/>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3.高新区。</w:t>
      </w:r>
      <w:r>
        <w:rPr>
          <w:rFonts w:hint="eastAsia" w:ascii="仿宋_GB2312" w:hAnsi="仿宋_GB2312" w:eastAsia="仿宋_GB2312" w:cs="仿宋_GB2312"/>
          <w:b w:val="0"/>
          <w:bCs w:val="0"/>
          <w:color w:val="auto"/>
          <w:sz w:val="32"/>
          <w:szCs w:val="32"/>
          <w:lang w:val="en-US" w:eastAsia="zh-CN"/>
        </w:rPr>
        <w:t>重点打造</w:t>
      </w:r>
      <w:r>
        <w:rPr>
          <w:rFonts w:hint="default" w:ascii="仿宋_GB2312" w:hAnsi="仿宋_GB2312" w:eastAsia="仿宋_GB2312" w:cs="仿宋_GB2312"/>
          <w:b w:val="0"/>
          <w:bCs w:val="0"/>
          <w:color w:val="auto"/>
          <w:sz w:val="32"/>
          <w:szCs w:val="32"/>
          <w:lang w:eastAsia="zh-CN"/>
        </w:rPr>
        <w:t>月季里</w:t>
      </w:r>
      <w:r>
        <w:rPr>
          <w:rFonts w:hint="eastAsia" w:ascii="Times New Roman" w:hAnsi="Times New Roman" w:eastAsia="仿宋_GB2312" w:cs="Times New Roman"/>
          <w:color w:val="auto"/>
          <w:sz w:val="32"/>
          <w:szCs w:val="32"/>
          <w:lang w:val="en-US" w:eastAsia="zh-CN"/>
        </w:rPr>
        <w:t>一刻钟便民生活圈。</w:t>
      </w:r>
    </w:p>
    <w:p>
      <w:pPr>
        <w:keepNext w:val="0"/>
        <w:keepLines w:val="0"/>
        <w:pageBreakBefore w:val="0"/>
        <w:widowControl w:val="0"/>
        <w:kinsoku/>
        <w:wordWrap/>
        <w:overflowPunct/>
        <w:topLinePunct w:val="0"/>
        <w:autoSpaceDE/>
        <w:autoSpaceDN/>
        <w:bidi w:val="0"/>
        <w:adjustRightInd/>
        <w:snapToGrid/>
        <w:spacing w:line="600" w:lineRule="exact"/>
        <w:ind w:left="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4.度假区</w:t>
      </w:r>
      <w:r>
        <w:rPr>
          <w:rFonts w:hint="eastAsia" w:ascii="仿宋_GB2312" w:hAnsi="仿宋_GB2312" w:eastAsia="仿宋_GB2312" w:cs="仿宋_GB2312"/>
          <w:color w:val="auto"/>
          <w:sz w:val="32"/>
          <w:szCs w:val="32"/>
          <w:lang w:val="en-US" w:eastAsia="zh-CN"/>
        </w:rPr>
        <w:t>。重点打造湖西街道端庄社区一刻钟便民生活圈。</w:t>
      </w:r>
    </w:p>
    <w:p>
      <w:pPr>
        <w:keepNext w:val="0"/>
        <w:keepLines w:val="0"/>
        <w:pageBreakBefore w:val="0"/>
        <w:widowControl w:val="0"/>
        <w:numPr>
          <w:ilvl w:val="0"/>
          <w:numId w:val="0"/>
        </w:numPr>
        <w:wordWrap/>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val="en-US" w:eastAsia="zh-CN"/>
        </w:rPr>
        <w:t>茌平区。</w:t>
      </w:r>
      <w:r>
        <w:rPr>
          <w:rFonts w:hint="eastAsia" w:ascii="仿宋_GB2312" w:hAnsi="仿宋_GB2312" w:eastAsia="仿宋_GB2312" w:cs="仿宋_GB2312"/>
          <w:color w:val="auto"/>
          <w:sz w:val="32"/>
          <w:szCs w:val="32"/>
          <w:lang w:val="en-US" w:eastAsia="zh-CN"/>
        </w:rPr>
        <w:t>重点打造齐韩一刻钟便民生活圈、光明一刻钟便民生活圈。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黑体" w:hAnsi="黑体" w:eastAsia="黑体" w:cs="仿宋"/>
          <w:bCs/>
          <w:color w:val="auto"/>
          <w:sz w:val="32"/>
          <w:szCs w:val="32"/>
          <w:highlight w:val="none"/>
          <w:lang w:eastAsia="zh-CN"/>
        </w:rPr>
      </w:pPr>
      <w:r>
        <w:rPr>
          <w:rFonts w:hint="eastAsia" w:ascii="黑体" w:hAnsi="黑体" w:eastAsia="黑体" w:cs="仿宋"/>
          <w:bCs/>
          <w:color w:val="auto"/>
          <w:sz w:val="32"/>
          <w:szCs w:val="32"/>
          <w:highlight w:val="none"/>
          <w:lang w:eastAsia="zh-CN"/>
        </w:rPr>
        <w:t>四、主要任务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（一）排摸社区商业建设现状。</w:t>
      </w:r>
      <w:r>
        <w:rPr>
          <w:rFonts w:hint="eastAsia" w:ascii="仿宋_GB2312" w:hAnsi="仿宋_GB2312" w:eastAsia="仿宋_GB2312" w:cs="仿宋_GB2312"/>
          <w:color w:val="auto"/>
          <w:sz w:val="32"/>
          <w:szCs w:val="32"/>
          <w:lang w:eastAsia="zh-CN"/>
        </w:rPr>
        <w:t>各区商务主管部门加强与住建、自然资源和规划等部门的沟通协调，依托社区，在全区开展社区商业建设情况排摸，摸清城区新老社区商业网点、业态建设情况，科学编制便民生活圈子方案，因地制宜，一圈一策。充分发挥商务部门对商业网点规划的指导作用，综合考虑属地居住区周边商业发展基础、规划布局、人口年龄构成、居民消费习惯等情况，逐步制定一刻钟便民生活圈建设计划。积极盘活分散的社区空间资源，结合老旧小区改造，以社区为单位依法依规统筹盘活闲置房屋等存量资源，增加商业网点用房供给，补齐商业设施短板，提升现有设施水平。</w:t>
      </w:r>
      <w:r>
        <w:rPr>
          <w:rFonts w:hint="eastAsia" w:ascii="楷体_GB2312" w:hAnsi="楷体_GB2312" w:eastAsia="楷体_GB2312" w:cs="楷体_GB2312"/>
          <w:color w:val="auto"/>
          <w:sz w:val="32"/>
          <w:szCs w:val="32"/>
          <w:lang w:eastAsia="zh-CN"/>
        </w:rPr>
        <w:t>（责任单位：市商务局、市自然资源和规划局、市住房城乡建设局、市市场监管局</w:t>
      </w: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市城管局</w:t>
      </w:r>
      <w:r>
        <w:rPr>
          <w:rFonts w:hint="eastAsia" w:ascii="楷体_GB2312" w:hAnsi="楷体_GB2312" w:eastAsia="楷体_GB2312" w:cs="楷体_GB2312"/>
          <w:color w:val="auto"/>
          <w:sz w:val="32"/>
          <w:szCs w:val="32"/>
          <w:lang w:eastAsia="zh-CN"/>
        </w:rPr>
        <w:t>，各区人民政府、市属开发区管委会）</w:t>
      </w:r>
    </w:p>
    <w:p>
      <w:pPr>
        <w:keepNext w:val="0"/>
        <w:keepLines w:val="0"/>
        <w:pageBreakBefore w:val="0"/>
        <w:widowControl w:val="0"/>
        <w:wordWrap/>
        <w:topLinePunct w:val="0"/>
        <w:autoSpaceDE/>
        <w:autoSpaceDN/>
        <w:bidi w:val="0"/>
        <w:adjustRightInd/>
        <w:snapToGrid/>
        <w:spacing w:line="600" w:lineRule="exact"/>
        <w:ind w:firstLine="640" w:firstLineChars="200"/>
        <w:textAlignment w:val="auto"/>
        <w:rPr>
          <w:rFonts w:hint="eastAsia" w:ascii="Times New Roman" w:hAnsi="仿宋_GB2312" w:eastAsia="仿宋_GB2312" w:cs="Times New Roman"/>
          <w:color w:val="auto"/>
          <w:sz w:val="32"/>
          <w:szCs w:val="32"/>
          <w:lang w:eastAsia="zh-CN"/>
        </w:rPr>
      </w:pPr>
      <w:r>
        <w:rPr>
          <w:rFonts w:ascii="Times New Roman" w:hAnsi="楷体_GB2312" w:eastAsia="楷体_GB2312" w:cs="Times New Roman"/>
          <w:color w:val="auto"/>
          <w:sz w:val="32"/>
          <w:szCs w:val="32"/>
        </w:rPr>
        <w:t>（</w:t>
      </w:r>
      <w:r>
        <w:rPr>
          <w:rFonts w:hint="eastAsia" w:ascii="Times New Roman" w:hAnsi="楷体_GB2312" w:eastAsia="楷体_GB2312" w:cs="Times New Roman"/>
          <w:color w:val="auto"/>
          <w:sz w:val="32"/>
          <w:szCs w:val="32"/>
          <w:lang w:eastAsia="zh-CN"/>
        </w:rPr>
        <w:t>二</w:t>
      </w:r>
      <w:r>
        <w:rPr>
          <w:rFonts w:ascii="Times New Roman" w:hAnsi="楷体_GB2312" w:eastAsia="楷体_GB2312" w:cs="Times New Roman"/>
          <w:color w:val="auto"/>
          <w:sz w:val="32"/>
          <w:szCs w:val="32"/>
        </w:rPr>
        <w:t>）丰富便民生活圈业态功能。</w:t>
      </w:r>
      <w:r>
        <w:rPr>
          <w:rFonts w:ascii="Times New Roman" w:hAnsi="仿宋_GB2312" w:eastAsia="仿宋_GB2312" w:cs="Times New Roman"/>
          <w:color w:val="auto"/>
          <w:sz w:val="32"/>
          <w:szCs w:val="32"/>
        </w:rPr>
        <w:t>优先配齐基本保障类业态，支持与居民日常生活密切相关的便利店、综合超市、菜市场、生鲜超市（菜店）、早餐店、美容美发店、洗染店、药店、照相文印店、家政服务点、维修点、再生资源回收点、</w:t>
      </w:r>
      <w:r>
        <w:rPr>
          <w:rFonts w:hint="eastAsia" w:ascii="Times New Roman" w:hAnsi="仿宋_GB2312" w:eastAsia="仿宋_GB2312" w:cs="Times New Roman"/>
          <w:color w:val="auto"/>
          <w:sz w:val="32"/>
          <w:szCs w:val="32"/>
          <w:lang w:eastAsia="zh-CN"/>
        </w:rPr>
        <w:t>快递服务点、智能快件箱</w:t>
      </w:r>
      <w:r>
        <w:rPr>
          <w:rFonts w:ascii="Times New Roman" w:hAnsi="仿宋_GB2312" w:eastAsia="仿宋_GB2312" w:cs="Times New Roman"/>
          <w:color w:val="auto"/>
          <w:sz w:val="32"/>
          <w:szCs w:val="32"/>
        </w:rPr>
        <w:t>等进社区。</w:t>
      </w:r>
      <w:r>
        <w:rPr>
          <w:rFonts w:hint="eastAsia" w:ascii="Times New Roman" w:hAnsi="仿宋_GB2312" w:eastAsia="仿宋_GB2312" w:cs="Times New Roman"/>
          <w:color w:val="auto"/>
          <w:sz w:val="32"/>
          <w:szCs w:val="32"/>
        </w:rPr>
        <w:t>支持社区利用闲置用房、整治改造后的房屋等空间，建设社区公共服务、便民服务等设施，完善“一站式”便民服务功能；配置社区文化站、卫生服务站（诊所）、养老服务中心（日间照料中心）等公共服务设施，为群众提供文化娱乐、卫生、养老等服务。</w:t>
      </w:r>
      <w:r>
        <w:rPr>
          <w:rFonts w:hint="eastAsia" w:ascii="楷体_GB2312" w:hAnsi="楷体_GB2312" w:eastAsia="楷体_GB2312" w:cs="楷体_GB2312"/>
          <w:color w:val="auto"/>
          <w:sz w:val="32"/>
          <w:szCs w:val="32"/>
          <w:lang w:eastAsia="zh-CN"/>
        </w:rPr>
        <w:t>（责任单位：市商务局、市市场监管局、市民政局、市卫生健康委、市文化和旅游局、市住房城乡建设局、市自然资源和规划局、市城管局、市邮政管理局，各区人民政府、市属开发区管委会）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color w:val="auto"/>
          <w:sz w:val="32"/>
          <w:szCs w:val="32"/>
          <w:lang w:val="en-US" w:eastAsia="zh-CN"/>
        </w:rPr>
        <w:t>（三）培育壮大市场主体。</w:t>
      </w:r>
      <w:r>
        <w:rPr>
          <w:rFonts w:hint="eastAsia" w:ascii="仿宋_GB2312" w:hAnsi="仿宋_GB2312" w:eastAsia="仿宋_GB2312" w:cs="仿宋_GB2312"/>
          <w:color w:val="auto"/>
          <w:sz w:val="32"/>
          <w:szCs w:val="32"/>
          <w:lang w:val="en-US" w:eastAsia="zh-CN"/>
        </w:rPr>
        <w:t>鼓励市场主体集聚式发展，按照各业态的建设标准规划建设，推进便民生活圈规范化、便利化、品牌化、连锁化、特色</w:t>
      </w:r>
      <w:r>
        <w:rPr>
          <w:rFonts w:hint="eastAsia" w:ascii="仿宋_GB2312" w:hAnsi="仿宋_GB2312" w:eastAsia="仿宋_GB2312" w:cs="仿宋_GB2312"/>
          <w:color w:val="auto"/>
          <w:sz w:val="32"/>
          <w:szCs w:val="32"/>
          <w:lang w:eastAsia="zh-CN"/>
        </w:rPr>
        <w:t>化发展。重点引进品牌连锁企业、特色企业、老字号企业，通过直营、加盟等形式入驻一刻钟便民生活圈；</w:t>
      </w:r>
      <w:r>
        <w:rPr>
          <w:rFonts w:hint="eastAsia" w:ascii="仿宋_GB2312" w:hAnsi="仿宋_GB2312" w:eastAsia="仿宋_GB2312" w:cs="仿宋_GB2312"/>
          <w:color w:val="auto"/>
          <w:sz w:val="32"/>
          <w:szCs w:val="32"/>
          <w:lang w:val="en-US" w:eastAsia="zh-CN"/>
        </w:rPr>
        <w:t>鼓励商贸流通企业延长产业链、开放供应链、畅通物流渠道，为社区超市、便利店、</w:t>
      </w:r>
      <w:r>
        <w:rPr>
          <w:rFonts w:hint="eastAsia" w:ascii="仿宋_GB2312" w:hAnsi="仿宋_GB2312" w:eastAsia="仿宋_GB2312" w:cs="仿宋_GB2312"/>
          <w:color w:val="auto"/>
          <w:sz w:val="32"/>
          <w:szCs w:val="32"/>
          <w:lang w:eastAsia="zh-CN"/>
        </w:rPr>
        <w:t>夫妻店、杂货铺等</w:t>
      </w:r>
      <w:r>
        <w:rPr>
          <w:rFonts w:hint="eastAsia" w:ascii="仿宋_GB2312" w:hAnsi="仿宋_GB2312" w:eastAsia="仿宋_GB2312" w:cs="仿宋_GB2312"/>
          <w:color w:val="auto"/>
          <w:sz w:val="32"/>
          <w:szCs w:val="32"/>
          <w:lang w:val="en-US" w:eastAsia="zh-CN"/>
        </w:rPr>
        <w:t>末端零售市场</w:t>
      </w:r>
      <w:r>
        <w:rPr>
          <w:rFonts w:hint="eastAsia" w:ascii="仿宋_GB2312" w:hAnsi="仿宋_GB2312" w:eastAsia="仿宋_GB2312" w:cs="仿宋_GB2312"/>
          <w:color w:val="auto"/>
          <w:sz w:val="32"/>
          <w:szCs w:val="32"/>
          <w:lang w:eastAsia="zh-CN"/>
        </w:rPr>
        <w:t>提供集采集配、统仓统配等一站式服务。支持电商企业整合线下社区小店资源，全面扩展线上功能，实现线上下单、线下配送与网络购物社区全覆盖。</w:t>
      </w:r>
      <w:r>
        <w:rPr>
          <w:rFonts w:hint="eastAsia" w:ascii="楷体_GB2312" w:hAnsi="楷体_GB2312" w:eastAsia="楷体_GB2312" w:cs="楷体_GB2312"/>
          <w:color w:val="auto"/>
          <w:sz w:val="32"/>
          <w:szCs w:val="32"/>
          <w:lang w:eastAsia="zh-CN"/>
        </w:rPr>
        <w:t>（责任单位：市商务局、市市场监管局、市行政审批局、市邮政管理局，各区人民政府、市属开发区管委会）</w:t>
      </w:r>
    </w:p>
    <w:p>
      <w:pPr>
        <w:keepNext w:val="0"/>
        <w:keepLines w:val="0"/>
        <w:pageBreakBefore w:val="0"/>
        <w:widowControl w:val="0"/>
        <w:wordWrap/>
        <w:topLinePunct w:val="0"/>
        <w:autoSpaceDE/>
        <w:autoSpaceDN/>
        <w:bidi w:val="0"/>
        <w:adjustRightInd/>
        <w:snapToGrid/>
        <w:spacing w:line="600" w:lineRule="exact"/>
        <w:ind w:firstLine="640" w:firstLineChars="200"/>
        <w:textAlignment w:val="auto"/>
        <w:rPr>
          <w:rFonts w:hint="eastAsia"/>
          <w:color w:val="auto"/>
          <w:lang w:eastAsia="zh-CN"/>
        </w:rPr>
      </w:pPr>
      <w:r>
        <w:rPr>
          <w:rFonts w:hint="eastAsia" w:ascii="楷体_GB2312" w:hAnsi="楷体_GB2312" w:eastAsia="楷体_GB2312" w:cs="楷体_GB2312"/>
          <w:color w:val="auto"/>
          <w:sz w:val="32"/>
          <w:szCs w:val="32"/>
          <w:lang w:eastAsia="zh-CN"/>
        </w:rPr>
        <w:t>（四）推动</w:t>
      </w:r>
      <w:r>
        <w:rPr>
          <w:rFonts w:hint="eastAsia" w:ascii="楷体_GB2312" w:hAnsi="楷体_GB2312" w:eastAsia="楷体_GB2312" w:cs="楷体_GB2312"/>
          <w:b w:val="0"/>
          <w:bCs w:val="0"/>
          <w:color w:val="auto"/>
          <w:sz w:val="32"/>
          <w:szCs w:val="32"/>
          <w:highlight w:val="none"/>
          <w:lang w:val="en-US" w:eastAsia="zh-CN"/>
        </w:rPr>
        <w:t>便民生活圈</w:t>
      </w:r>
      <w:r>
        <w:rPr>
          <w:rFonts w:hint="eastAsia" w:ascii="楷体_GB2312" w:hAnsi="楷体_GB2312" w:eastAsia="楷体_GB2312" w:cs="楷体_GB2312"/>
          <w:color w:val="auto"/>
          <w:sz w:val="32"/>
          <w:szCs w:val="32"/>
          <w:lang w:eastAsia="zh-CN"/>
        </w:rPr>
        <w:t>提档升级。</w:t>
      </w:r>
      <w:r>
        <w:rPr>
          <w:rFonts w:hint="eastAsia" w:ascii="仿宋_GB2312" w:hAnsi="仿宋_GB2312" w:eastAsia="仿宋_GB2312" w:cs="仿宋_GB2312"/>
          <w:color w:val="auto"/>
          <w:sz w:val="32"/>
          <w:szCs w:val="32"/>
          <w:lang w:eastAsia="zh-CN"/>
        </w:rPr>
        <w:t>紧跟新时代居民生活消费升级新需求，以新零售、新业态、新模式为突破，聚焦社区商业品质提升和功能拓展，推动社区商业转型升级。</w:t>
      </w:r>
      <w:r>
        <w:rPr>
          <w:rFonts w:ascii="Times New Roman" w:hAnsi="仿宋_GB2312" w:eastAsia="仿宋_GB2312" w:cs="Times New Roman"/>
          <w:color w:val="auto"/>
          <w:sz w:val="32"/>
          <w:szCs w:val="32"/>
        </w:rPr>
        <w:t>因地制宜发展品质提升类业态，鼓励发展特色餐饮、运动健身、保健养生、教育培训、休闲娱乐、老年康护、幼儿托管等品质提升类业态，</w:t>
      </w:r>
      <w:r>
        <w:rPr>
          <w:rFonts w:hint="eastAsia" w:ascii="仿宋_GB2312" w:hAnsi="仿宋_GB2312" w:eastAsia="仿宋_GB2312" w:cs="仿宋_GB2312"/>
          <w:color w:val="auto"/>
          <w:sz w:val="32"/>
          <w:szCs w:val="32"/>
          <w:lang w:eastAsia="zh-CN"/>
        </w:rPr>
        <w:t>满足社区居民高品质消费需要，</w:t>
      </w:r>
      <w:r>
        <w:rPr>
          <w:rFonts w:ascii="Times New Roman" w:hAnsi="仿宋_GB2312" w:eastAsia="仿宋_GB2312" w:cs="Times New Roman"/>
          <w:color w:val="auto"/>
          <w:sz w:val="32"/>
          <w:szCs w:val="32"/>
        </w:rPr>
        <w:t>提</w:t>
      </w:r>
      <w:r>
        <w:rPr>
          <w:rFonts w:hint="eastAsia" w:ascii="Times New Roman" w:hAnsi="仿宋_GB2312" w:eastAsia="仿宋_GB2312" w:cs="Times New Roman"/>
          <w:color w:val="auto"/>
          <w:sz w:val="32"/>
          <w:szCs w:val="32"/>
          <w:lang w:eastAsia="zh-CN"/>
        </w:rPr>
        <w:t>高</w:t>
      </w:r>
      <w:r>
        <w:rPr>
          <w:rFonts w:ascii="Times New Roman" w:hAnsi="仿宋_GB2312" w:eastAsia="仿宋_GB2312" w:cs="Times New Roman"/>
          <w:color w:val="auto"/>
          <w:sz w:val="32"/>
          <w:szCs w:val="32"/>
        </w:rPr>
        <w:t>生活品质</w:t>
      </w:r>
      <w:r>
        <w:rPr>
          <w:rFonts w:hint="eastAsia" w:ascii="Times New Roman" w:hAnsi="仿宋_GB2312" w:eastAsia="仿宋_GB2312" w:cs="Times New Roman"/>
          <w:color w:val="auto"/>
          <w:sz w:val="32"/>
          <w:szCs w:val="32"/>
          <w:lang w:eastAsia="zh-CN"/>
        </w:rPr>
        <w:t>。</w:t>
      </w:r>
      <w:r>
        <w:rPr>
          <w:rFonts w:hint="eastAsia" w:ascii="Times New Roman" w:hAnsi="仿宋_GB2312" w:eastAsia="仿宋_GB2312" w:cs="Times New Roman"/>
          <w:color w:val="auto"/>
          <w:sz w:val="32"/>
          <w:szCs w:val="32"/>
        </w:rPr>
        <w:t>推动品</w:t>
      </w:r>
      <w:r>
        <w:rPr>
          <w:rFonts w:hint="eastAsia" w:ascii="仿宋_GB2312" w:hAnsi="仿宋_GB2312" w:eastAsia="仿宋_GB2312" w:cs="仿宋_GB2312"/>
          <w:color w:val="auto"/>
          <w:sz w:val="32"/>
          <w:szCs w:val="32"/>
        </w:rPr>
        <w:t>牌连锁便利店</w:t>
      </w:r>
      <w:r>
        <w:rPr>
          <w:rFonts w:hint="eastAsia" w:ascii="仿宋_GB2312" w:hAnsi="仿宋_GB2312" w:eastAsia="仿宋_GB2312" w:cs="仿宋_GB2312"/>
          <w:color w:val="auto"/>
          <w:sz w:val="32"/>
          <w:szCs w:val="32"/>
          <w:lang w:eastAsia="zh-CN"/>
        </w:rPr>
        <w:t>、超市</w:t>
      </w:r>
      <w:r>
        <w:rPr>
          <w:rFonts w:hint="eastAsia" w:ascii="仿宋_GB2312" w:hAnsi="仿宋_GB2312" w:eastAsia="仿宋_GB2312" w:cs="仿宋_GB2312"/>
          <w:color w:val="auto"/>
          <w:sz w:val="32"/>
          <w:szCs w:val="32"/>
        </w:rPr>
        <w:t>进社区，搭载代扣代缴、代收代发、打印复印</w:t>
      </w:r>
      <w:r>
        <w:rPr>
          <w:rFonts w:hint="eastAsia" w:ascii="仿宋_GB2312" w:hAnsi="仿宋_GB2312" w:eastAsia="仿宋_GB2312" w:cs="仿宋_GB2312"/>
          <w:color w:val="auto"/>
          <w:sz w:val="32"/>
          <w:szCs w:val="32"/>
          <w:lang w:eastAsia="zh-CN"/>
        </w:rPr>
        <w:t>、上门服务</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功能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提高便民服务能力。</w:t>
      </w:r>
      <w:r>
        <w:rPr>
          <w:rFonts w:hint="eastAsia" w:ascii="仿宋_GB2312" w:hAnsi="仿宋_GB2312" w:eastAsia="仿宋_GB2312" w:cs="仿宋_GB2312"/>
          <w:color w:val="auto"/>
          <w:sz w:val="32"/>
          <w:szCs w:val="32"/>
        </w:rPr>
        <w:t>鼓励有条件的物业服务企业向养老、托育、家政、邮政快递等领域延伸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推动“物业服务＋生活服务”，提升消费便利化、品质化水平。</w:t>
      </w:r>
      <w:r>
        <w:rPr>
          <w:rFonts w:hint="eastAsia" w:ascii="楷体_GB2312" w:hAnsi="楷体_GB2312" w:eastAsia="楷体_GB2312" w:cs="楷体_GB2312"/>
          <w:color w:val="auto"/>
          <w:sz w:val="32"/>
          <w:szCs w:val="32"/>
          <w:lang w:eastAsia="zh-CN"/>
        </w:rPr>
        <w:t>（责任单位：市商务局、市民政局、市住房城乡建设局、市卫生健康委、市文化和旅游局、市教育体育局、市市场监管局、市城管局、市邮政管理局，各区人民政府、市属开发区管委会）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（五）引导</w:t>
      </w:r>
      <w:r>
        <w:rPr>
          <w:rFonts w:hint="eastAsia" w:ascii="楷体_GB2312" w:hAnsi="楷体_GB2312" w:eastAsia="楷体_GB2312" w:cs="楷体_GB2312"/>
          <w:b w:val="0"/>
          <w:bCs w:val="0"/>
          <w:color w:val="auto"/>
          <w:sz w:val="32"/>
          <w:szCs w:val="32"/>
          <w:highlight w:val="none"/>
          <w:lang w:val="en-US" w:eastAsia="zh-CN"/>
        </w:rPr>
        <w:t>便民生活圈</w:t>
      </w:r>
      <w:r>
        <w:rPr>
          <w:rFonts w:hint="eastAsia" w:ascii="楷体_GB2312" w:hAnsi="楷体_GB2312" w:eastAsia="楷体_GB2312" w:cs="楷体_GB2312"/>
          <w:b w:val="0"/>
          <w:bCs w:val="0"/>
          <w:color w:val="auto"/>
          <w:sz w:val="32"/>
          <w:szCs w:val="32"/>
          <w:highlight w:val="none"/>
          <w:lang w:eastAsia="zh-CN"/>
        </w:rPr>
        <w:t>规范经营。</w:t>
      </w:r>
      <w:r>
        <w:rPr>
          <w:rFonts w:hint="eastAsia" w:ascii="仿宋_GB2312" w:hAnsi="仿宋_GB2312" w:eastAsia="仿宋_GB2312" w:cs="仿宋_GB2312"/>
          <w:b w:val="0"/>
          <w:bCs w:val="0"/>
          <w:color w:val="auto"/>
          <w:sz w:val="32"/>
          <w:szCs w:val="32"/>
          <w:highlight w:val="none"/>
          <w:lang w:eastAsia="zh-CN"/>
        </w:rPr>
        <w:t>各区要整合街道、社区、物业、商户等各方力量，健全完善一刻钟便民生活圈管理制度，强化诚信经营和守法意识，通过共建共管加强自律规范。加强消费者合法权益保护，打击消费欺诈行为，落实商品和服务明码标价工作，规范市场主体经营行为。支持行业协会制定相关标准，开展技能培训，规范商户经营和服务行为。照顾特殊群体，完善必要的无障碍设施，张贴便民生活圈导视图，鼓励设立为老年人服务的专柜和体验店，保留实体店铺面对面人工服务，支持现金和银行卡支付，提供简便易行、满足老年人基本需要的服务方式。</w:t>
      </w:r>
      <w:r>
        <w:rPr>
          <w:rFonts w:hint="eastAsia" w:ascii="楷体_GB2312" w:hAnsi="楷体_GB2312" w:eastAsia="楷体_GB2312" w:cs="楷体_GB2312"/>
          <w:b w:val="0"/>
          <w:bCs w:val="0"/>
          <w:color w:val="auto"/>
          <w:sz w:val="32"/>
          <w:szCs w:val="32"/>
          <w:highlight w:val="none"/>
          <w:lang w:eastAsia="zh-CN"/>
        </w:rPr>
        <w:t>（责任单位：市商务局、市发展改革委、市市场监管局、市城管局、中国人民银行聊城市分行，</w:t>
      </w:r>
      <w:r>
        <w:rPr>
          <w:rFonts w:hint="eastAsia" w:ascii="楷体_GB2312" w:hAnsi="楷体_GB2312" w:eastAsia="楷体_GB2312" w:cs="楷体_GB2312"/>
          <w:color w:val="auto"/>
          <w:sz w:val="32"/>
          <w:szCs w:val="32"/>
          <w:lang w:eastAsia="zh-CN"/>
        </w:rPr>
        <w:t>各区人民政府、市属开发区管委会</w:t>
      </w:r>
      <w:r>
        <w:rPr>
          <w:rFonts w:hint="eastAsia" w:ascii="楷体_GB2312" w:hAnsi="楷体_GB2312" w:eastAsia="楷体_GB2312" w:cs="楷体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黑体" w:hAnsi="黑体" w:eastAsia="黑体" w:cs="仿宋"/>
          <w:bCs/>
          <w:color w:val="auto"/>
          <w:sz w:val="32"/>
          <w:szCs w:val="32"/>
          <w:highlight w:val="none"/>
          <w:lang w:eastAsia="zh-CN"/>
        </w:rPr>
      </w:pPr>
      <w:r>
        <w:rPr>
          <w:rFonts w:hint="eastAsia" w:ascii="黑体" w:hAnsi="黑体" w:eastAsia="黑体" w:cs="黑体"/>
          <w:color w:val="auto"/>
          <w:kern w:val="0"/>
          <w:sz w:val="32"/>
          <w:szCs w:val="32"/>
          <w:highlight w:val="none"/>
          <w:lang w:eastAsia="zh-CN"/>
        </w:rPr>
        <w:t>五、</w:t>
      </w:r>
      <w:r>
        <w:rPr>
          <w:rFonts w:hint="eastAsia" w:ascii="黑体" w:hAnsi="黑体" w:eastAsia="黑体" w:cs="仿宋"/>
          <w:bCs/>
          <w:color w:val="auto"/>
          <w:sz w:val="32"/>
          <w:szCs w:val="32"/>
          <w:highlight w:val="none"/>
          <w:lang w:eastAsia="zh-CN"/>
        </w:rPr>
        <w:t>保障措施</w:t>
      </w:r>
    </w:p>
    <w:p>
      <w:pPr>
        <w:keepNext w:val="0"/>
        <w:keepLines w:val="0"/>
        <w:pageBreakBefore w:val="0"/>
        <w:widowControl w:val="0"/>
        <w:wordWrap/>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（一）加强组织领导。</w:t>
      </w:r>
      <w:r>
        <w:rPr>
          <w:rFonts w:hint="eastAsia" w:ascii="仿宋_GB2312" w:hAnsi="Times New Roman" w:eastAsia="仿宋_GB2312"/>
          <w:color w:val="auto"/>
          <w:sz w:val="32"/>
          <w:szCs w:val="32"/>
          <w:lang w:eastAsia="zh-CN"/>
        </w:rPr>
        <w:t>各区要结合实际，把</w:t>
      </w:r>
      <w:r>
        <w:rPr>
          <w:rFonts w:hint="eastAsia" w:ascii="仿宋_GB2312" w:hAnsi="Times New Roman" w:eastAsia="仿宋_GB2312"/>
          <w:color w:val="auto"/>
          <w:sz w:val="32"/>
          <w:szCs w:val="32"/>
          <w:lang w:val="en-US" w:eastAsia="zh-CN"/>
        </w:rPr>
        <w:t>一刻钟便民生活圈建设纳入政府重点工作，作为促进城市商业体系高质量发展的有效手段。鼓励</w:t>
      </w:r>
      <w:r>
        <w:rPr>
          <w:rFonts w:hint="eastAsia" w:ascii="仿宋_GB2312" w:hAnsi="Times New Roman" w:eastAsia="仿宋_GB2312"/>
          <w:color w:val="auto"/>
          <w:sz w:val="32"/>
          <w:szCs w:val="32"/>
        </w:rPr>
        <w:t>实行区长</w:t>
      </w:r>
      <w:r>
        <w:rPr>
          <w:rFonts w:hint="eastAsia" w:ascii="仿宋_GB2312" w:hAnsi="Times New Roman" w:eastAsia="仿宋_GB2312"/>
          <w:color w:val="auto"/>
          <w:sz w:val="32"/>
          <w:szCs w:val="32"/>
          <w:lang w:eastAsia="zh-CN"/>
        </w:rPr>
        <w:t>（管委会主任）</w:t>
      </w:r>
      <w:r>
        <w:rPr>
          <w:rFonts w:hint="eastAsia" w:ascii="仿宋_GB2312" w:hAnsi="Times New Roman" w:eastAsia="仿宋_GB2312"/>
          <w:color w:val="auto"/>
          <w:sz w:val="32"/>
          <w:szCs w:val="32"/>
        </w:rPr>
        <w:t>负责制，以区为实施主体，推动开展城市一刻钟便民生活圈建设试点。加强部门联动，商务、住建</w:t>
      </w:r>
      <w:r>
        <w:rPr>
          <w:rFonts w:hint="eastAsia" w:ascii="仿宋_GB2312" w:hAnsi="Times New Roman" w:eastAsia="仿宋_GB2312"/>
          <w:color w:val="auto"/>
          <w:sz w:val="32"/>
          <w:szCs w:val="32"/>
          <w:lang w:eastAsia="zh-CN"/>
        </w:rPr>
        <w:t>、自然资源和规划等部门要重点</w:t>
      </w:r>
      <w:r>
        <w:rPr>
          <w:rFonts w:hint="eastAsia" w:ascii="仿宋_GB2312" w:hAnsi="Times New Roman" w:eastAsia="仿宋_GB2312"/>
          <w:color w:val="auto"/>
          <w:sz w:val="32"/>
          <w:szCs w:val="32"/>
        </w:rPr>
        <w:t>加强工作指导</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发改、民政、财政、人力资源社会保障、文化和旅游、税务、市场监管、金融、邮政管理、城管、行政审批等部门要发挥职能作用，落实支持政策，加强监督管理，优化营商环境，共同推动便民生活圈健康发展。</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责任单位：市直各</w:t>
      </w:r>
      <w:r>
        <w:rPr>
          <w:rFonts w:hint="eastAsia" w:ascii="楷体_GB2312" w:hAnsi="楷体_GB2312" w:eastAsia="楷体_GB2312" w:cs="楷体_GB2312"/>
          <w:color w:val="auto"/>
          <w:sz w:val="32"/>
          <w:szCs w:val="32"/>
        </w:rPr>
        <w:t>有关部门，</w:t>
      </w:r>
      <w:r>
        <w:rPr>
          <w:rFonts w:hint="eastAsia" w:ascii="楷体_GB2312" w:hAnsi="楷体_GB2312" w:eastAsia="楷体_GB2312" w:cs="楷体_GB2312"/>
          <w:color w:val="auto"/>
          <w:sz w:val="32"/>
          <w:szCs w:val="32"/>
          <w:lang w:eastAsia="zh-CN"/>
        </w:rPr>
        <w:t>各区人民政府、市属开发区管委会</w:t>
      </w:r>
      <w:r>
        <w:rPr>
          <w:rFonts w:hint="eastAsia" w:ascii="楷体_GB2312" w:hAnsi="楷体_GB2312" w:eastAsia="楷体_GB2312" w:cs="楷体_GB2312"/>
          <w:color w:val="auto"/>
          <w:sz w:val="32"/>
          <w:szCs w:val="32"/>
        </w:rPr>
        <w:t>）</w:t>
      </w:r>
    </w:p>
    <w:p>
      <w:pPr>
        <w:keepNext w:val="0"/>
        <w:keepLines w:val="0"/>
        <w:pageBreakBefore w:val="0"/>
        <w:widowControl w:val="0"/>
        <w:wordWrap/>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ascii="Times New Roman" w:hAnsi="楷体_GB2312" w:eastAsia="楷体_GB2312" w:cs="Times New Roman"/>
          <w:color w:val="auto"/>
          <w:sz w:val="32"/>
          <w:szCs w:val="32"/>
        </w:rPr>
        <w:t>（二）改造基础设施。</w:t>
      </w:r>
      <w:r>
        <w:rPr>
          <w:rFonts w:hint="eastAsia" w:ascii="仿宋_GB2312" w:hAnsi="仿宋_GB2312" w:eastAsia="仿宋_GB2312" w:cs="仿宋_GB2312"/>
          <w:color w:val="auto"/>
          <w:sz w:val="32"/>
          <w:szCs w:val="32"/>
          <w:highlight w:val="none"/>
          <w:u w:val="none"/>
        </w:rPr>
        <w:t>落实</w:t>
      </w:r>
      <w:r>
        <w:rPr>
          <w:rFonts w:hint="eastAsia" w:ascii="仿宋_GB2312" w:hAnsi="仿宋_GB2312" w:eastAsia="仿宋_GB2312" w:cs="仿宋_GB2312"/>
          <w:color w:val="auto"/>
          <w:sz w:val="32"/>
          <w:szCs w:val="32"/>
          <w:highlight w:val="none"/>
          <w:u w:val="none"/>
          <w:lang w:eastAsia="zh-CN"/>
        </w:rPr>
        <w:t>城市一刻钟便民生活圈社区</w:t>
      </w:r>
      <w:r>
        <w:rPr>
          <w:rFonts w:hint="eastAsia" w:ascii="仿宋_GB2312" w:hAnsi="仿宋_GB2312" w:eastAsia="仿宋_GB2312" w:cs="仿宋_GB2312"/>
          <w:color w:val="auto"/>
          <w:sz w:val="32"/>
          <w:szCs w:val="32"/>
          <w:highlight w:val="none"/>
          <w:u w:val="none"/>
        </w:rPr>
        <w:t>商业</w:t>
      </w:r>
      <w:r>
        <w:rPr>
          <w:rFonts w:hint="eastAsia" w:ascii="仿宋_GB2312" w:hAnsi="仿宋_GB2312" w:eastAsia="仿宋_GB2312" w:cs="仿宋_GB2312"/>
          <w:color w:val="auto"/>
          <w:sz w:val="32"/>
          <w:szCs w:val="32"/>
          <w:highlight w:val="none"/>
          <w:u w:val="none"/>
          <w:lang w:eastAsia="zh-CN"/>
        </w:rPr>
        <w:t>和综合服务设施面积占社区总建筑面积比例不低于10%的规定</w:t>
      </w:r>
      <w:r>
        <w:rPr>
          <w:rFonts w:hint="default" w:ascii="仿宋_GB2312" w:hAnsi="仿宋_GB2312" w:eastAsia="仿宋_GB2312" w:cs="仿宋_GB2312"/>
          <w:color w:val="auto"/>
          <w:sz w:val="32"/>
          <w:szCs w:val="32"/>
          <w:highlight w:val="none"/>
          <w:u w:val="none"/>
          <w:lang w:eastAsia="zh-CN"/>
        </w:rPr>
        <w:t>，做到社区商业设施与住宅同步规划、同步建设、同步验收和同步交付</w:t>
      </w:r>
      <w:r>
        <w:rPr>
          <w:rFonts w:hint="eastAsia" w:ascii="仿宋_GB2312" w:hAnsi="仿宋_GB2312" w:eastAsia="仿宋_GB2312" w:cs="仿宋_GB2312"/>
          <w:color w:val="auto"/>
          <w:sz w:val="32"/>
          <w:szCs w:val="32"/>
          <w:highlight w:val="none"/>
          <w:u w:val="none"/>
          <w:lang w:eastAsia="zh-CN"/>
        </w:rPr>
        <w:t>。</w:t>
      </w:r>
      <w:r>
        <w:rPr>
          <w:rFonts w:hint="default" w:ascii="仿宋_GB2312" w:hAnsi="仿宋_GB2312" w:eastAsia="仿宋_GB2312" w:cs="仿宋_GB2312"/>
          <w:color w:val="auto"/>
          <w:sz w:val="32"/>
          <w:szCs w:val="32"/>
          <w:highlight w:val="none"/>
          <w:u w:val="none"/>
          <w:lang w:eastAsia="zh-CN"/>
        </w:rPr>
        <w:t>结合旧城改造和城市更新，做好与国土空间规划衔接，推动土地复合开发利用、用途合理转换，盘活存量房屋设施，增加商业网点用房供给，有条件的商业网点周边要实行人车分流，完善无障碍设施。鼓励物业服务企业在保障安全、征得业主同意的前提下，在居住区设置共享仓，为商户和居民提供物品临时存放场所</w:t>
      </w:r>
      <w:r>
        <w:rPr>
          <w:rFonts w:hint="eastAsia" w:ascii="仿宋_GB2312" w:hAnsi="仿宋_GB2312" w:eastAsia="仿宋_GB2312" w:cs="仿宋_GB2312"/>
          <w:color w:val="auto"/>
          <w:sz w:val="32"/>
          <w:szCs w:val="32"/>
          <w:highlight w:val="none"/>
          <w:u w:val="none"/>
          <w:lang w:eastAsia="zh-CN"/>
        </w:rPr>
        <w:t>。</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责任单位：</w:t>
      </w:r>
      <w:r>
        <w:rPr>
          <w:rFonts w:hint="eastAsia" w:ascii="楷体_GB2312" w:hAnsi="楷体_GB2312" w:eastAsia="楷体_GB2312" w:cs="楷体_GB2312"/>
          <w:color w:val="auto"/>
          <w:sz w:val="32"/>
          <w:szCs w:val="32"/>
        </w:rPr>
        <w:t>市自然资源和规划局、市住房城乡建设局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市民政局、</w:t>
      </w:r>
      <w:r>
        <w:rPr>
          <w:rFonts w:hint="eastAsia" w:ascii="楷体_GB2312" w:hAnsi="楷体_GB2312" w:eastAsia="楷体_GB2312" w:cs="楷体_GB2312"/>
          <w:color w:val="auto"/>
          <w:sz w:val="32"/>
          <w:szCs w:val="32"/>
          <w:lang w:eastAsia="zh-CN"/>
        </w:rPr>
        <w:t>市城管局、市行政审批局、各区人民政府、市属开发区管委会</w:t>
      </w:r>
      <w:r>
        <w:rPr>
          <w:rFonts w:hint="eastAsia" w:ascii="楷体_GB2312" w:hAnsi="楷体_GB2312" w:eastAsia="楷体_GB2312" w:cs="楷体_GB2312"/>
          <w:color w:val="auto"/>
          <w:sz w:val="32"/>
          <w:szCs w:val="32"/>
        </w:rPr>
        <w:t>）</w:t>
      </w:r>
    </w:p>
    <w:p>
      <w:pPr>
        <w:keepNext w:val="0"/>
        <w:keepLines w:val="0"/>
        <w:pageBreakBefore w:val="0"/>
        <w:widowControl w:val="0"/>
        <w:wordWrap/>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强化政策保障</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highlight w:val="none"/>
          <w:u w:val="none"/>
          <w:lang w:eastAsia="zh-CN"/>
        </w:rPr>
        <w:t>支持地方用好就业补助资金。引导银行保险机构加大普惠金融支持力度。落实国家关于养老、托育、家政等社区家庭服务业税费优惠政策。统筹财政资金，落实促消费稳发展专项资金有关政策</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eastAsia="zh-CN"/>
        </w:rPr>
        <w:t>鼓励共享办公、线上线下融合等新模式新业态新服务发展。</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责任单位：</w:t>
      </w:r>
      <w:r>
        <w:rPr>
          <w:rFonts w:hint="eastAsia" w:ascii="楷体_GB2312" w:hAnsi="楷体_GB2312" w:eastAsia="楷体_GB2312" w:cs="楷体_GB2312"/>
          <w:color w:val="auto"/>
          <w:sz w:val="32"/>
          <w:szCs w:val="32"/>
        </w:rPr>
        <w:t>市财政局、市人力资源社会保障局</w:t>
      </w:r>
      <w:r>
        <w:rPr>
          <w:rFonts w:hint="eastAsia" w:ascii="楷体_GB2312" w:hAnsi="楷体_GB2312" w:eastAsia="楷体_GB2312" w:cs="楷体_GB2312"/>
          <w:color w:val="auto"/>
          <w:sz w:val="32"/>
          <w:szCs w:val="32"/>
          <w:lang w:eastAsia="zh-CN"/>
        </w:rPr>
        <w:t>、市民政局、市商务局、市税务局、国家金融监督管理总局聊城监管分局，各区人民政府、市属开发区管委会</w:t>
      </w:r>
      <w:r>
        <w:rPr>
          <w:rFonts w:hint="eastAsia" w:ascii="楷体_GB2312" w:hAnsi="楷体_GB2312" w:eastAsia="楷体_GB2312" w:cs="楷体_GB2312"/>
          <w:color w:val="auto"/>
          <w:sz w:val="32"/>
          <w:szCs w:val="32"/>
        </w:rPr>
        <w:t>）</w:t>
      </w:r>
    </w:p>
    <w:p>
      <w:pPr>
        <w:keepNext w:val="0"/>
        <w:keepLines w:val="0"/>
        <w:pageBreakBefore w:val="0"/>
        <w:widowControl w:val="0"/>
        <w:wordWrap/>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）优化营商环境</w:t>
      </w:r>
      <w:r>
        <w:rPr>
          <w:rFonts w:hint="eastAsia" w:ascii="楷体_GB2312" w:hAnsi="楷体_GB2312" w:eastAsia="楷体_GB2312" w:cs="楷体_GB2312"/>
          <w:color w:val="auto"/>
          <w:sz w:val="32"/>
          <w:szCs w:val="32"/>
          <w:lang w:eastAsia="zh-CN"/>
        </w:rPr>
        <w:t>。</w:t>
      </w:r>
      <w:r>
        <w:rPr>
          <w:rFonts w:hint="eastAsia" w:ascii="仿宋_GB2312" w:eastAsia="仿宋_GB2312"/>
          <w:color w:val="auto"/>
          <w:sz w:val="32"/>
          <w:szCs w:val="32"/>
        </w:rPr>
        <w:t>持续深化商事制度改革，优化企业开办服务。实施“包容审慎”监管，坚持处罚与教育相结合，对违法情节轻微、无违法后果或后果较轻的，在法律法规允许的幅度范围内给予适当从轻、减轻或免予处罚，指导和帮助市场主体整改。</w:t>
      </w:r>
      <w:r>
        <w:rPr>
          <w:rFonts w:hint="eastAsia" w:ascii="仿宋_GB2312" w:hAnsi="仿宋_GB2312" w:eastAsia="仿宋_GB2312" w:cs="仿宋_GB2312"/>
          <w:b w:val="0"/>
          <w:bCs w:val="0"/>
          <w:color w:val="auto"/>
          <w:kern w:val="2"/>
          <w:sz w:val="32"/>
          <w:szCs w:val="32"/>
          <w:highlight w:val="none"/>
          <w:lang w:val="en-US" w:eastAsia="zh-CN" w:bidi="ar-SA"/>
        </w:rPr>
        <w:t>简化社区店铺开业、</w:t>
      </w:r>
      <w:r>
        <w:rPr>
          <w:rFonts w:hint="eastAsia" w:ascii="仿宋_GB2312" w:hAnsi="仿宋_GB2312" w:eastAsia="仿宋_GB2312" w:cs="仿宋_GB2312"/>
          <w:b w:val="0"/>
          <w:bCs w:val="0"/>
          <w:color w:val="auto"/>
          <w:kern w:val="2"/>
          <w:sz w:val="32"/>
          <w:szCs w:val="32"/>
          <w:highlight w:val="none"/>
          <w:u w:val="none"/>
          <w:lang w:val="en-US" w:eastAsia="zh-CN" w:bidi="ar-SA"/>
        </w:rPr>
        <w:t>装修施工程序</w:t>
      </w:r>
      <w:r>
        <w:rPr>
          <w:rFonts w:hint="eastAsia" w:ascii="仿宋_GB2312" w:hAnsi="仿宋_GB2312" w:eastAsia="仿宋_GB2312" w:cs="仿宋_GB2312"/>
          <w:b w:val="0"/>
          <w:bCs w:val="0"/>
          <w:color w:val="auto"/>
          <w:kern w:val="2"/>
          <w:sz w:val="32"/>
          <w:szCs w:val="32"/>
          <w:highlight w:val="none"/>
          <w:lang w:val="en-US" w:eastAsia="zh-CN" w:bidi="ar-SA"/>
        </w:rPr>
        <w:t>，工程投资额在100万元以下（含）或建筑面积在500平方米以下（含）的装饰装修工程免予办理建筑工程施工许可，</w:t>
      </w:r>
      <w:r>
        <w:rPr>
          <w:rFonts w:hint="eastAsia" w:ascii="仿宋_GB2312" w:hAnsi="仿宋_GB2312" w:eastAsia="仿宋_GB2312" w:cs="仿宋_GB2312"/>
          <w:b w:val="0"/>
          <w:bCs w:val="0"/>
          <w:color w:val="auto"/>
          <w:kern w:val="2"/>
          <w:sz w:val="32"/>
          <w:szCs w:val="32"/>
          <w:highlight w:val="none"/>
          <w:u w:val="none"/>
          <w:lang w:val="en-US" w:eastAsia="zh-CN" w:bidi="ar-SA"/>
        </w:rPr>
        <w:t>招牌设置实行备案制。</w:t>
      </w:r>
      <w:r>
        <w:rPr>
          <w:rFonts w:hint="eastAsia" w:ascii="仿宋_GB2312" w:eastAsia="仿宋_GB2312"/>
          <w:color w:val="auto"/>
          <w:sz w:val="32"/>
          <w:szCs w:val="32"/>
        </w:rPr>
        <w:t>公众聚集场所投入使用、营业前消防安全检查实行告知承诺制</w:t>
      </w:r>
      <w:r>
        <w:rPr>
          <w:rFonts w:hint="eastAsia" w:ascii="仿宋_GB2312" w:eastAsia="仿宋_GB2312"/>
          <w:color w:val="auto"/>
          <w:sz w:val="32"/>
          <w:szCs w:val="32"/>
          <w:lang w:eastAsia="zh-CN"/>
        </w:rPr>
        <w:t>或非告知承诺制</w:t>
      </w:r>
      <w:r>
        <w:rPr>
          <w:rFonts w:hint="eastAsia" w:ascii="仿宋_GB2312" w:eastAsia="仿宋_GB2312"/>
          <w:color w:val="auto"/>
          <w:sz w:val="32"/>
          <w:szCs w:val="32"/>
        </w:rPr>
        <w:t>。</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责任单位：市</w:t>
      </w:r>
      <w:r>
        <w:rPr>
          <w:rFonts w:hint="eastAsia" w:ascii="楷体_GB2312" w:hAnsi="楷体_GB2312" w:eastAsia="楷体_GB2312" w:cs="楷体_GB2312"/>
          <w:color w:val="auto"/>
          <w:sz w:val="32"/>
          <w:szCs w:val="32"/>
        </w:rPr>
        <w:t>行政审批局、市住房城乡建设局</w:t>
      </w:r>
      <w:r>
        <w:rPr>
          <w:rFonts w:hint="eastAsia" w:ascii="楷体_GB2312" w:hAnsi="楷体_GB2312" w:eastAsia="楷体_GB2312" w:cs="楷体_GB2312"/>
          <w:color w:val="auto"/>
          <w:sz w:val="32"/>
          <w:szCs w:val="32"/>
          <w:lang w:eastAsia="zh-CN"/>
        </w:rPr>
        <w:t>、市</w:t>
      </w:r>
      <w:r>
        <w:rPr>
          <w:rFonts w:hint="eastAsia" w:ascii="楷体_GB2312" w:hAnsi="楷体_GB2312" w:eastAsia="楷体_GB2312" w:cs="楷体_GB2312"/>
          <w:color w:val="auto"/>
          <w:sz w:val="32"/>
          <w:szCs w:val="32"/>
        </w:rPr>
        <w:t>市场监管局</w:t>
      </w:r>
      <w:r>
        <w:rPr>
          <w:rFonts w:hint="eastAsia" w:ascii="楷体_GB2312" w:hAnsi="楷体_GB2312" w:eastAsia="楷体_GB2312" w:cs="楷体_GB2312"/>
          <w:color w:val="auto"/>
          <w:sz w:val="32"/>
          <w:szCs w:val="32"/>
          <w:lang w:eastAsia="zh-CN"/>
        </w:rPr>
        <w:t>、市城管局</w:t>
      </w:r>
      <w:r>
        <w:rPr>
          <w:rFonts w:hint="default" w:ascii="楷体_GB2312" w:hAnsi="楷体_GB2312" w:eastAsia="楷体_GB2312" w:cs="楷体_GB2312"/>
          <w:color w:val="auto"/>
          <w:sz w:val="32"/>
          <w:szCs w:val="32"/>
          <w:lang w:val="en-US" w:eastAsia="zh-CN"/>
        </w:rPr>
        <w:t>、市消防救援支队</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各区人民政府、市属开发区管委会</w:t>
      </w:r>
      <w:r>
        <w:rPr>
          <w:rFonts w:hint="eastAsia" w:ascii="楷体_GB2312" w:hAnsi="楷体_GB2312" w:eastAsia="楷体_GB2312" w:cs="楷体_GB2312"/>
          <w:color w:val="auto"/>
          <w:sz w:val="32"/>
          <w:szCs w:val="32"/>
        </w:rPr>
        <w:t>）</w:t>
      </w:r>
    </w:p>
    <w:p>
      <w:pPr>
        <w:keepNext w:val="0"/>
        <w:keepLines w:val="0"/>
        <w:pageBreakBefore w:val="0"/>
        <w:widowControl w:val="0"/>
        <w:wordWrap/>
        <w:topLinePunct w:val="0"/>
        <w:autoSpaceDE/>
        <w:autoSpaceDN/>
        <w:bidi w:val="0"/>
        <w:adjustRightInd/>
        <w:snapToGrid/>
        <w:spacing w:line="600" w:lineRule="exact"/>
        <w:ind w:left="0" w:firstLine="640" w:firstLineChars="200"/>
        <w:textAlignment w:val="auto"/>
        <w:rPr>
          <w:rFonts w:hint="eastAsia" w:ascii="仿宋_GB2312" w:eastAsia="仿宋_GB2312"/>
          <w:color w:val="auto"/>
          <w:sz w:val="32"/>
          <w:szCs w:val="32"/>
          <w:lang w:eastAsia="zh-CN"/>
        </w:rPr>
      </w:pPr>
      <w:r>
        <w:rPr>
          <w:rFonts w:ascii="Times New Roman" w:hAnsi="楷体_GB2312" w:eastAsia="楷体_GB2312" w:cs="Times New Roman"/>
          <w:color w:val="auto"/>
          <w:sz w:val="32"/>
          <w:szCs w:val="32"/>
        </w:rPr>
        <w:t>（</w:t>
      </w:r>
      <w:r>
        <w:rPr>
          <w:rFonts w:hint="eastAsia" w:ascii="Times New Roman" w:hAnsi="楷体_GB2312" w:eastAsia="楷体_GB2312" w:cs="Times New Roman"/>
          <w:color w:val="auto"/>
          <w:sz w:val="32"/>
          <w:szCs w:val="32"/>
          <w:lang w:eastAsia="zh-CN"/>
        </w:rPr>
        <w:t>五</w:t>
      </w:r>
      <w:r>
        <w:rPr>
          <w:rFonts w:ascii="Times New Roman" w:hAnsi="楷体_GB2312" w:eastAsia="楷体_GB2312" w:cs="Times New Roman"/>
          <w:color w:val="auto"/>
          <w:sz w:val="32"/>
          <w:szCs w:val="32"/>
        </w:rPr>
        <w:t>）规范社区商圈</w:t>
      </w:r>
      <w:r>
        <w:rPr>
          <w:rFonts w:hint="eastAsia" w:ascii="Times New Roman" w:hAnsi="楷体_GB2312" w:eastAsia="楷体_GB2312" w:cs="Times New Roman"/>
          <w:color w:val="auto"/>
          <w:sz w:val="32"/>
          <w:szCs w:val="32"/>
          <w:lang w:eastAsia="zh-CN"/>
        </w:rPr>
        <w:t>管理</w:t>
      </w:r>
      <w:r>
        <w:rPr>
          <w:rFonts w:ascii="Times New Roman" w:hAnsi="楷体_GB2312" w:eastAsia="楷体_GB2312" w:cs="Times New Roman"/>
          <w:color w:val="auto"/>
          <w:sz w:val="32"/>
          <w:szCs w:val="32"/>
        </w:rPr>
        <w:t>。</w:t>
      </w:r>
      <w:r>
        <w:rPr>
          <w:rFonts w:hint="eastAsia" w:ascii="仿宋_GB2312" w:eastAsia="仿宋_GB2312"/>
          <w:color w:val="auto"/>
          <w:sz w:val="32"/>
          <w:szCs w:val="32"/>
        </w:rPr>
        <w:t>坚持发展和规范并重，建立健全社区电商（含社区团购等）领域市场准入规则，划清底线、加强监管、规范秩序，促进公平竞争，反对垄断，防止资本无序扩张。维护公众利益和社会稳定，督促平台企业承担商品质量、食品安全保障等责任，落实社区团购“九不得”规定，维护线上线下公平竞争的市场环境。畅通投诉举报渠道，完善消费纠纷解决机制和消费者反馈评价机制。</w:t>
      </w:r>
      <w:r>
        <w:rPr>
          <w:rFonts w:hint="eastAsia" w:ascii="楷体_GB2312" w:hAnsi="楷体_GB2312" w:eastAsia="楷体_GB2312" w:cs="楷体_GB2312"/>
          <w:color w:val="auto"/>
          <w:sz w:val="32"/>
          <w:szCs w:val="32"/>
        </w:rPr>
        <w:t>（市商务局、市市场监管局，</w:t>
      </w:r>
      <w:r>
        <w:rPr>
          <w:rFonts w:hint="eastAsia" w:ascii="楷体_GB2312" w:hAnsi="楷体_GB2312" w:eastAsia="楷体_GB2312" w:cs="楷体_GB2312"/>
          <w:color w:val="auto"/>
          <w:sz w:val="32"/>
          <w:szCs w:val="32"/>
          <w:lang w:eastAsia="zh-CN"/>
        </w:rPr>
        <w:t>各区人民政府、市属开发区管委会</w:t>
      </w:r>
      <w:r>
        <w:rPr>
          <w:rFonts w:hint="eastAsia" w:ascii="楷体_GB2312" w:hAnsi="楷体_GB2312" w:eastAsia="楷体_GB2312" w:cs="楷体_GB2312"/>
          <w:color w:val="auto"/>
          <w:sz w:val="32"/>
          <w:szCs w:val="32"/>
        </w:rPr>
        <w:t>）。</w:t>
      </w:r>
    </w:p>
    <w:p>
      <w:pPr>
        <w:pStyle w:val="8"/>
        <w:keepNext w:val="0"/>
        <w:keepLines w:val="0"/>
        <w:pageBreakBefore w:val="0"/>
        <w:widowControl w:val="0"/>
        <w:wordWrap/>
        <w:topLinePunct w:val="0"/>
        <w:autoSpaceDE/>
        <w:autoSpaceDN/>
        <w:bidi w:val="0"/>
        <w:adjustRightInd/>
        <w:snapToGrid/>
        <w:spacing w:line="600" w:lineRule="exact"/>
        <w:ind w:left="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附件：聊城市</w:t>
      </w:r>
      <w:r>
        <w:rPr>
          <w:rFonts w:hint="eastAsia" w:ascii="仿宋_GB2312" w:eastAsia="仿宋_GB2312"/>
          <w:color w:val="auto"/>
          <w:sz w:val="32"/>
          <w:szCs w:val="32"/>
          <w:lang w:val="en-US" w:eastAsia="zh-CN"/>
        </w:rPr>
        <w:t>一刻钟便民生活圈建设子方案</w:t>
      </w:r>
    </w:p>
    <w:p>
      <w:pPr>
        <w:pStyle w:val="8"/>
        <w:keepNext w:val="0"/>
        <w:keepLines w:val="0"/>
        <w:pageBreakBefore w:val="0"/>
        <w:widowControl w:val="0"/>
        <w:wordWrap/>
        <w:topLinePunct w:val="0"/>
        <w:autoSpaceDE/>
        <w:autoSpaceDN/>
        <w:bidi w:val="0"/>
        <w:adjustRightInd/>
        <w:snapToGrid/>
        <w:spacing w:line="600" w:lineRule="exact"/>
        <w:ind w:left="0" w:firstLine="640" w:firstLineChars="200"/>
        <w:textAlignment w:val="auto"/>
        <w:rPr>
          <w:rFonts w:hint="eastAsia" w:ascii="仿宋_GB2312" w:eastAsia="仿宋_GB2312"/>
          <w:color w:val="auto"/>
          <w:sz w:val="32"/>
          <w:szCs w:val="32"/>
          <w:lang w:val="en-US" w:eastAsia="zh-CN"/>
        </w:rPr>
      </w:pPr>
    </w:p>
    <w:p>
      <w:pPr>
        <w:pStyle w:val="8"/>
        <w:keepNext w:val="0"/>
        <w:keepLines w:val="0"/>
        <w:pageBreakBefore w:val="0"/>
        <w:widowControl w:val="0"/>
        <w:wordWrap/>
        <w:topLinePunct w:val="0"/>
        <w:autoSpaceDE/>
        <w:autoSpaceDN/>
        <w:bidi w:val="0"/>
        <w:adjustRightInd w:val="0"/>
        <w:snapToGrid w:val="0"/>
        <w:spacing w:line="600" w:lineRule="exact"/>
        <w:ind w:left="0"/>
        <w:textAlignment w:val="auto"/>
        <w:rPr>
          <w:rFonts w:hint="eastAsia" w:ascii="仿宋_GB2312" w:eastAsia="仿宋_GB2312"/>
          <w:color w:val="auto"/>
          <w:sz w:val="32"/>
          <w:szCs w:val="32"/>
          <w:lang w:eastAsia="zh-CN"/>
        </w:rPr>
      </w:pPr>
    </w:p>
    <w:p>
      <w:pPr>
        <w:pStyle w:val="8"/>
        <w:keepNext w:val="0"/>
        <w:keepLines w:val="0"/>
        <w:pageBreakBefore w:val="0"/>
        <w:widowControl w:val="0"/>
        <w:wordWrap/>
        <w:topLinePunct w:val="0"/>
        <w:autoSpaceDE/>
        <w:autoSpaceDN/>
        <w:bidi w:val="0"/>
        <w:adjustRightInd w:val="0"/>
        <w:snapToGrid w:val="0"/>
        <w:spacing w:line="600" w:lineRule="exact"/>
        <w:ind w:left="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聊城市城市一刻钟便民生活圈建设子方案</w:t>
      </w:r>
    </w:p>
    <w:p>
      <w:pPr>
        <w:pStyle w:val="8"/>
        <w:keepNext w:val="0"/>
        <w:keepLines w:val="0"/>
        <w:pageBreakBefore w:val="0"/>
        <w:widowControl w:val="0"/>
        <w:wordWrap/>
        <w:topLinePunct w:val="0"/>
        <w:autoSpaceDE/>
        <w:autoSpaceDN/>
        <w:bidi w:val="0"/>
        <w:adjustRightInd w:val="0"/>
        <w:snapToGrid w:val="0"/>
        <w:spacing w:line="600" w:lineRule="exact"/>
        <w:ind w:left="0"/>
        <w:textAlignment w:val="auto"/>
        <w:rPr>
          <w:rFonts w:hint="eastAsia" w:ascii="仿宋_GB2312" w:eastAsia="仿宋_GB2312"/>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hint="eastAsia" w:ascii="黑体" w:hAnsi="黑体" w:eastAsia="黑体" w:cs="黑体"/>
          <w:color w:val="auto"/>
          <w:w w:val="105"/>
          <w:sz w:val="32"/>
          <w:szCs w:val="32"/>
          <w:lang w:val="en-US" w:eastAsia="zh-CN"/>
        </w:rPr>
      </w:pPr>
      <w:r>
        <w:rPr>
          <w:rFonts w:hint="eastAsia" w:ascii="黑体" w:hAnsi="黑体" w:eastAsia="黑体" w:cs="黑体"/>
          <w:color w:val="auto"/>
          <w:sz w:val="32"/>
          <w:szCs w:val="32"/>
          <w:lang w:val="en-US" w:eastAsia="zh-CN"/>
        </w:rPr>
        <w:t>1.湖南社区一刻钟便民生活圈</w:t>
      </w:r>
      <w:r>
        <w:rPr>
          <w:rFonts w:hint="eastAsia" w:ascii="黑体" w:hAnsi="黑体" w:eastAsia="黑体" w:cs="黑体"/>
          <w:color w:val="auto"/>
          <w:sz w:val="32"/>
          <w:szCs w:val="32"/>
          <w:lang w:eastAsia="zh-CN"/>
        </w:rPr>
        <w:t>建设子方案</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600" w:lineRule="exact"/>
        <w:ind w:left="0" w:right="0" w:rightChars="0" w:firstLine="672" w:firstLineChars="200"/>
        <w:jc w:val="left"/>
        <w:textAlignment w:val="auto"/>
        <w:outlineLvl w:val="9"/>
        <w:rPr>
          <w:rFonts w:hint="eastAsia" w:ascii="仿宋" w:hAnsi="仿宋" w:eastAsia="仿宋" w:cs="仿宋"/>
          <w:color w:val="auto"/>
          <w:spacing w:val="0"/>
          <w:w w:val="100"/>
          <w:position w:val="0"/>
          <w:sz w:val="32"/>
          <w:szCs w:val="32"/>
          <w:lang w:val="en-US"/>
        </w:rPr>
      </w:pPr>
      <w:r>
        <w:rPr>
          <w:rFonts w:hint="eastAsia" w:eastAsia="仿宋_GB2312" w:cs="仿宋_GB2312"/>
          <w:color w:val="auto"/>
          <w:w w:val="105"/>
          <w:sz w:val="32"/>
          <w:szCs w:val="24"/>
          <w:lang w:val="en-US" w:eastAsia="zh-CN"/>
        </w:rPr>
        <w:t>湖南社区一刻钟便民生活圈位于湖南路以北，沿东昌湖南岸，该便民生活圈有较为完善的养老、医疗、教育、商业、交通、文体等公共服务设施，附近有西关古井、聊城东昌湖旅游区、水城之眼等旅游景点。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（一）聚焦重点，加快补齐便民服务短板。</w:t>
      </w:r>
      <w:r>
        <w:rPr>
          <w:rFonts w:hint="eastAsia" w:ascii="仿宋_GB2312" w:hAnsi="仿宋_GB2312" w:eastAsia="仿宋_GB2312" w:cs="仿宋_GB2312"/>
          <w:color w:val="auto"/>
          <w:sz w:val="32"/>
          <w:szCs w:val="32"/>
          <w:lang w:eastAsia="zh-CN"/>
        </w:rPr>
        <w:t>针对一刻钟便民生活圈试点区域现状，对文化、养老、街角公园、幼儿园、社区诊所等基本公共服务设施进行再完善、再提升，让居民在家门口就能享受“一站式”服务，真正实现幼有所育、老有所养、病有所医、食有所安、居有所乐、事有所办。一是高标准实施老旧小区改造。通过新建、改建、扩建、翻建、“微改造”等多种方式，有序推进部分老旧小区提升改造。二是补齐公共基础设施。积极推进交通道路标识标牌改造工作，完成交通线不清晰处施划工作；配合实施雨污分流雨水收集管网工程。三是持续优化城市公共交通网络，构建绿色交通体系。在具备条件的道路两侧及公共场所科学规划设立停车区域，配备电动汽车、电动自行车充电设施，完善非机动车停车棚、停车架等辅助设施，构建绿色交通体系，实现低碳、便捷、文明出行。四是推进辖区公共空间景观设计改造。加强辖区园林绿道、慢行步道的有机衔接，对街头游园及文化广场进行改造，全面满足群众对绿色休闲的需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（二）聚焦便民惠民，不断提升服务水平。</w:t>
      </w:r>
      <w:r>
        <w:rPr>
          <w:rFonts w:hint="eastAsia" w:ascii="仿宋_GB2312" w:hAnsi="仿宋_GB2312" w:eastAsia="仿宋_GB2312" w:cs="仿宋_GB2312"/>
          <w:color w:val="auto"/>
          <w:sz w:val="32"/>
          <w:szCs w:val="32"/>
          <w:lang w:eastAsia="zh-CN"/>
        </w:rPr>
        <w:t>一是优化提升商业服务功能。鼓励辖区商超及现有商贸企业不断提高经营、管理能力和服务水平，满足居民多样化的消费需求。二是支持鼓励大众餐饮全面发展。三是不断完善便民服务网络。推进蔬菜零售、便利店（社区超市）、家政、末端配送（快递柜）、便民维修等商业服务店面标准化、智慧化建设，鼓励开展配送上门等增值服务、便民服务，满足居民多样化服务需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（三）聚焦品质优化，不断提升政务服务效能。</w:t>
      </w:r>
      <w:r>
        <w:rPr>
          <w:rFonts w:hint="eastAsia" w:ascii="仿宋_GB2312" w:hAnsi="仿宋_GB2312" w:eastAsia="仿宋_GB2312" w:cs="仿宋_GB2312"/>
          <w:color w:val="auto"/>
          <w:sz w:val="32"/>
          <w:szCs w:val="32"/>
          <w:lang w:eastAsia="zh-CN"/>
        </w:rPr>
        <w:t>湖南社区以高频服务事项为重点，不断创新服务方式，打造“15分钟政务服务圈”，为辖区内居民提供更周全、更贴心、更直接的便利化政务服务。专门设立了帮办代办窗口，组建了代办员队伍，建立了街道和社区便民服务事项联动机制，并制作了便民服务事项二维码，方便群众了解办事流程和办事所需材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一刻钟</w:t>
      </w:r>
      <w:r>
        <w:rPr>
          <w:rFonts w:hint="eastAsia" w:ascii="仿宋_GB2312" w:hAnsi="仿宋_GB2312" w:eastAsia="仿宋_GB2312" w:cs="仿宋_GB2312"/>
          <w:color w:val="auto"/>
          <w:sz w:val="32"/>
          <w:szCs w:val="32"/>
          <w:lang w:eastAsia="zh-CN"/>
        </w:rPr>
        <w:t>便民生活圈建设工作是一个系统性、综合性的工作,在推进过程中还需要面对种种挑战，将积极引入各种资源和技术，提高工作效率和质量，打造完善的便民生活圈。</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2.光岳社区一刻钟便民生活圈建设子方案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光岳社区隶属于东昌府区柳园街道，辖区范围南至育新街、北至东昌路、西至柳园路、东至花园路，辖区面积0.5平方公里，总户数3600余户。社区内综合超市、莱市场、便利店（生鲜便利店）、餐饮店、理发店、药店、洗衣店、家政店、维修店、综合服务店等业态齐全。步行15分钟行程内，有</w:t>
      </w:r>
      <w:r>
        <w:rPr>
          <w:rFonts w:hint="eastAsia" w:ascii="仿宋_GB2312" w:hAnsi="仿宋_GB2312" w:eastAsia="仿宋_GB2312" w:cs="仿宋_GB2312"/>
          <w:color w:val="auto"/>
          <w:sz w:val="32"/>
          <w:szCs w:val="32"/>
          <w:lang w:eastAsia="zh-CN"/>
        </w:rPr>
        <w:t>位于聊城</w:t>
      </w:r>
      <w:r>
        <w:rPr>
          <w:rFonts w:hint="eastAsia" w:ascii="仿宋_GB2312" w:hAnsi="仿宋_GB2312" w:eastAsia="仿宋_GB2312" w:cs="仿宋_GB2312"/>
          <w:color w:val="auto"/>
          <w:sz w:val="32"/>
          <w:szCs w:val="32"/>
          <w:lang w:val="en-US" w:eastAsia="zh-CN"/>
        </w:rPr>
        <w:t>市中心的商业综合体金鼎购物中心，</w:t>
      </w:r>
      <w:r>
        <w:rPr>
          <w:rFonts w:hint="eastAsia" w:ascii="仿宋_GB2312" w:hAnsi="仿宋_GB2312" w:eastAsia="仿宋_GB2312" w:cs="仿宋_GB2312"/>
          <w:color w:val="auto"/>
          <w:sz w:val="32"/>
          <w:szCs w:val="32"/>
          <w:lang w:eastAsia="zh-CN"/>
        </w:rPr>
        <w:t>总建筑面积</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color w:val="auto"/>
          <w:sz w:val="32"/>
          <w:szCs w:val="32"/>
          <w:lang w:eastAsia="zh-CN"/>
        </w:rPr>
        <w:t>万平方米，地上</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层地下一层，是集高档购物、时尚餐饮、文化休闲、大众娱乐等多功能于一体的大型时尚购物中心，带动了周边房地产企业、小区商铺市场繁荣，满足了</w:t>
      </w:r>
      <w:r>
        <w:rPr>
          <w:rFonts w:hint="eastAsia" w:ascii="仿宋_GB2312" w:hAnsi="仿宋_GB2312" w:eastAsia="仿宋_GB2312" w:cs="仿宋_GB2312"/>
          <w:color w:val="auto"/>
          <w:sz w:val="32"/>
          <w:szCs w:val="32"/>
          <w:lang w:val="en-US" w:eastAsia="zh-CN"/>
        </w:rPr>
        <w:t>东昌府</w:t>
      </w:r>
      <w:r>
        <w:rPr>
          <w:rFonts w:hint="eastAsia" w:ascii="仿宋_GB2312" w:hAnsi="仿宋_GB2312" w:eastAsia="仿宋_GB2312" w:cs="仿宋_GB2312"/>
          <w:color w:val="auto"/>
          <w:sz w:val="32"/>
          <w:szCs w:val="32"/>
          <w:lang w:eastAsia="zh-CN"/>
        </w:rPr>
        <w:t>区居民日常生活购物需求。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（一）补齐设施短板。</w:t>
      </w:r>
      <w:r>
        <w:rPr>
          <w:rFonts w:hint="eastAsia" w:ascii="仿宋_GB2312" w:hAnsi="仿宋_GB2312" w:eastAsia="仿宋_GB2312" w:cs="仿宋_GB2312"/>
          <w:color w:val="auto"/>
          <w:sz w:val="32"/>
          <w:szCs w:val="32"/>
          <w:lang w:val="en-US" w:eastAsia="zh-CN"/>
        </w:rPr>
        <w:t>面对社区老旧小区设施较多的基本情况，</w:t>
      </w:r>
      <w:r>
        <w:rPr>
          <w:rFonts w:hint="eastAsia" w:ascii="仿宋_GB2312" w:hAnsi="仿宋_GB2312" w:eastAsia="仿宋_GB2312" w:cs="仿宋_GB2312"/>
          <w:color w:val="auto"/>
          <w:sz w:val="32"/>
          <w:szCs w:val="32"/>
          <w:lang w:eastAsia="zh-CN"/>
        </w:rPr>
        <w:t>结合</w:t>
      </w:r>
      <w:r>
        <w:rPr>
          <w:rFonts w:hint="eastAsia" w:ascii="仿宋_GB2312" w:hAnsi="仿宋_GB2312" w:eastAsia="仿宋_GB2312" w:cs="仿宋_GB2312"/>
          <w:color w:val="auto"/>
          <w:sz w:val="32"/>
          <w:szCs w:val="32"/>
          <w:lang w:val="en-US" w:eastAsia="zh-CN"/>
        </w:rPr>
        <w:t>老旧小区改造、城市更新项目，推进</w:t>
      </w:r>
      <w:r>
        <w:rPr>
          <w:rFonts w:hint="eastAsia" w:ascii="仿宋_GB2312" w:hAnsi="仿宋_GB2312" w:eastAsia="仿宋_GB2312" w:cs="仿宋_GB2312"/>
          <w:color w:val="auto"/>
          <w:sz w:val="32"/>
          <w:szCs w:val="32"/>
          <w:lang w:eastAsia="zh-CN"/>
        </w:rPr>
        <w:t>社区服务体系建设，完善基础设施建设，推动便民商业设施进社区，盘活分散的社区空间资源。改造提升商业中心、邻里中心等各类综合服务设施，完善“一站式便民服务功能”，鼓励有条件的物业服务企业向养老、托育、家政、邮政快递、前置仓等延伸。</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（二）丰富商业业态。</w:t>
      </w:r>
      <w:r>
        <w:rPr>
          <w:rFonts w:hint="eastAsia" w:ascii="仿宋_GB2312" w:hAnsi="仿宋_GB2312" w:eastAsia="仿宋_GB2312" w:cs="仿宋_GB2312"/>
          <w:color w:val="auto"/>
          <w:sz w:val="32"/>
          <w:szCs w:val="32"/>
          <w:lang w:eastAsia="zh-CN"/>
        </w:rPr>
        <mc:AlternateContent>
          <mc:Choice Requires="wps">
            <w:drawing>
              <wp:anchor distT="0" distB="0" distL="114300" distR="114300" simplePos="0" relativeHeight="251661312" behindDoc="0" locked="0" layoutInCell="1" allowOverlap="1">
                <wp:simplePos x="0" y="0"/>
                <wp:positionH relativeFrom="page">
                  <wp:posOffset>7486015</wp:posOffset>
                </wp:positionH>
                <wp:positionV relativeFrom="paragraph">
                  <wp:posOffset>2761615</wp:posOffset>
                </wp:positionV>
                <wp:extent cx="76200" cy="914400"/>
                <wp:effectExtent l="0" t="0" r="0" b="0"/>
                <wp:wrapNone/>
                <wp:docPr id="9" name="矩形 9"/>
                <wp:cNvGraphicFramePr/>
                <a:graphic xmlns:a="http://schemas.openxmlformats.org/drawingml/2006/main">
                  <a:graphicData uri="http://schemas.microsoft.com/office/word/2010/wordprocessingShape">
                    <wps:wsp>
                      <wps:cNvSpPr/>
                      <wps:spPr>
                        <a:xfrm>
                          <a:off x="0" y="0"/>
                          <a:ext cx="76200" cy="914400"/>
                        </a:xfrm>
                        <a:prstGeom prst="rect">
                          <a:avLst/>
                        </a:prstGeom>
                        <a:noFill/>
                        <a:ln>
                          <a:noFill/>
                        </a:ln>
                        <a:effectLst/>
                      </wps:spPr>
                      <wps:txbx>
                        <w:txbxContent>
                          <w:p>
                            <w:pPr>
                              <w:widowControl/>
                              <w:autoSpaceDE/>
                              <w:autoSpaceDN/>
                              <w:adjustRightInd/>
                              <w:spacing w:beforeLines="0" w:afterLines="0" w:line="1440" w:lineRule="atLeast"/>
                              <w:rPr>
                                <w:rFonts w:hint="default"/>
                                <w:sz w:val="24"/>
                                <w:szCs w:val="24"/>
                              </w:rPr>
                            </w:pPr>
                            <w:r>
                              <w:rPr>
                                <w:rFonts w:hint="default"/>
                                <w:sz w:val="24"/>
                                <w:szCs w:val="24"/>
                              </w:rPr>
                              <w:drawing>
                                <wp:inline distT="0" distB="0" distL="114300" distR="114300">
                                  <wp:extent cx="73025" cy="914400"/>
                                  <wp:effectExtent l="0" t="0" r="3175"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8"/>
                                          <a:stretch>
                                            <a:fillRect/>
                                          </a:stretch>
                                        </pic:blipFill>
                                        <pic:spPr>
                                          <a:xfrm>
                                            <a:off x="0" y="0"/>
                                            <a:ext cx="73025" cy="914400"/>
                                          </a:xfrm>
                                          <a:prstGeom prst="rect">
                                            <a:avLst/>
                                          </a:prstGeom>
                                          <a:noFill/>
                                          <a:ln>
                                            <a:noFill/>
                                          </a:ln>
                                        </pic:spPr>
                                      </pic:pic>
                                    </a:graphicData>
                                  </a:graphic>
                                </wp:inline>
                              </w:drawing>
                            </w:r>
                          </w:p>
                          <w:p>
                            <w:pPr>
                              <w:spacing w:beforeLines="0" w:afterLines="0"/>
                              <w:rPr>
                                <w:rFonts w:hint="default"/>
                                <w:sz w:val="24"/>
                                <w:szCs w:val="24"/>
                              </w:rPr>
                            </w:pPr>
                          </w:p>
                        </w:txbxContent>
                      </wps:txbx>
                      <wps:bodyPr lIns="0" tIns="0" rIns="0" bIns="0" upright="1"/>
                    </wps:wsp>
                  </a:graphicData>
                </a:graphic>
              </wp:anchor>
            </w:drawing>
          </mc:Choice>
          <mc:Fallback>
            <w:pict>
              <v:rect id="_x0000_s1026" o:spid="_x0000_s1026" o:spt="1" style="position:absolute;left:0pt;margin-left:589.45pt;margin-top:217.45pt;height:72pt;width:6pt;mso-position-horizontal-relative:page;z-index:251661312;mso-width-relative:page;mso-height-relative:page;" filled="f" stroked="f" coordsize="21600,21600" o:gfxdata="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">
                <v:fill on="f" focussize="0,0"/>
                <v:stroke on="f"/>
                <v:imagedata o:title=""/>
                <o:lock v:ext="edit" aspectratio="f"/>
                <v:textbox inset="0mm,0mm,0mm,0mm">
                  <w:txbxContent>
                    <w:p>
                      <w:pPr>
                        <w:widowControl/>
                        <w:autoSpaceDE/>
                        <w:autoSpaceDN/>
                        <w:adjustRightInd/>
                        <w:spacing w:beforeLines="0" w:afterLines="0" w:line="1440" w:lineRule="atLeast"/>
                        <w:rPr>
                          <w:rFonts w:hint="default"/>
                          <w:sz w:val="24"/>
                          <w:szCs w:val="24"/>
                        </w:rPr>
                      </w:pPr>
                      <w:r>
                        <w:rPr>
                          <w:rFonts w:hint="default"/>
                          <w:sz w:val="24"/>
                          <w:szCs w:val="24"/>
                        </w:rPr>
                        <w:drawing>
                          <wp:inline distT="0" distB="0" distL="114300" distR="114300">
                            <wp:extent cx="73025" cy="914400"/>
                            <wp:effectExtent l="0" t="0" r="3175"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8"/>
                                    <a:stretch>
                                      <a:fillRect/>
                                    </a:stretch>
                                  </pic:blipFill>
                                  <pic:spPr>
                                    <a:xfrm>
                                      <a:off x="0" y="0"/>
                                      <a:ext cx="73025" cy="914400"/>
                                    </a:xfrm>
                                    <a:prstGeom prst="rect">
                                      <a:avLst/>
                                    </a:prstGeom>
                                    <a:noFill/>
                                    <a:ln>
                                      <a:noFill/>
                                    </a:ln>
                                  </pic:spPr>
                                </pic:pic>
                              </a:graphicData>
                            </a:graphic>
                          </wp:inline>
                        </w:drawing>
                      </w:r>
                    </w:p>
                    <w:p>
                      <w:pPr>
                        <w:spacing w:beforeLines="0" w:afterLines="0"/>
                        <w:rPr>
                          <w:rFonts w:hint="default"/>
                          <w:sz w:val="24"/>
                          <w:szCs w:val="24"/>
                        </w:rPr>
                      </w:pPr>
                    </w:p>
                  </w:txbxContent>
                </v:textbox>
              </v:rect>
            </w:pict>
          </mc:Fallback>
        </mc:AlternateContent>
      </w:r>
      <w:r>
        <w:rPr>
          <w:rFonts w:hint="eastAsia" w:ascii="仿宋_GB2312" w:hAnsi="仿宋_GB2312" w:eastAsia="仿宋_GB2312" w:cs="仿宋_GB2312"/>
          <w:color w:val="auto"/>
          <w:sz w:val="32"/>
          <w:szCs w:val="32"/>
          <w:lang w:eastAsia="zh-CN"/>
        </w:rPr>
        <w:t>合理调整完善社区周边业态，突出“便民、利民、惠民”特点，围绕不同老旧社区，科学培植各类业态，支持发展线上线下融合的即时零售模式（平台下单+就近门店配送，就近门店下单+即时配送），赋能实体门店，拓展服务半径，满足居民日常生活需求。推动便民生活圈配齐社区综合超市、莱市场、便利店（生鲜便利店）、餐饮店、理发店、药店、洗衣店、家政店、维修店、综合服务店、前置仓、再生资源回收点等基本保障类业态，鼓励金融、快递、旅游、维修等商业服务项目叠加到社区便利店、超市，增加和扩大社区便利店、超市叠加政务和公共服务种类，保障生活必需。支持社保机、自动售卖机等进社区，提升消费便利化、品质化水平。</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（三）壮大市场主体。</w:t>
      </w:r>
      <w:r>
        <w:rPr>
          <w:rFonts w:hint="eastAsia" w:ascii="仿宋_GB2312" w:hAnsi="仿宋_GB2312" w:eastAsia="仿宋_GB2312" w:cs="仿宋_GB2312"/>
          <w:color w:val="auto"/>
          <w:sz w:val="32"/>
          <w:szCs w:val="32"/>
          <w:lang w:eastAsia="zh-CN"/>
        </w:rPr>
        <w:t>满足新时代居民生活消费升级新需求，以新零售、新业态、新模式为突破，推动社区商业转型升级。引导企业集聚发展，大力推动社区零售品牌连锁化发展，提高连锁比重，鼓励品牌连锁便利店进社区，</w:t>
      </w:r>
      <w:r>
        <w:rPr>
          <w:rFonts w:hint="eastAsia" w:ascii="仿宋_GB2312" w:hAnsi="仿宋_GB2312" w:eastAsia="仿宋_GB2312" w:cs="仿宋_GB2312"/>
          <w:color w:val="auto"/>
          <w:sz w:val="32"/>
          <w:szCs w:val="32"/>
          <w:lang w:val="en-US" w:eastAsia="zh-CN"/>
        </w:rPr>
        <w:t>鼓励</w:t>
      </w:r>
      <w:r>
        <w:rPr>
          <w:rFonts w:hint="eastAsia" w:ascii="仿宋_GB2312" w:hAnsi="仿宋_GB2312" w:eastAsia="仿宋_GB2312" w:cs="仿宋_GB2312"/>
          <w:b w:val="0"/>
          <w:bCs w:val="0"/>
          <w:color w:val="auto"/>
          <w:sz w:val="32"/>
          <w:szCs w:val="32"/>
          <w:lang w:val="en-US" w:eastAsia="zh-CN"/>
        </w:rPr>
        <w:t>京都亿沣</w:t>
      </w:r>
      <w:r>
        <w:rPr>
          <w:rFonts w:hint="eastAsia" w:ascii="仿宋_GB2312" w:hAnsi="仿宋_GB2312" w:eastAsia="仿宋_GB2312" w:cs="仿宋_GB2312"/>
          <w:color w:val="auto"/>
          <w:sz w:val="32"/>
          <w:szCs w:val="32"/>
          <w:lang w:val="en-US" w:eastAsia="zh-CN"/>
        </w:rPr>
        <w:t>、振华、华盛等大企业开放供应链、物流渠道，为小商店、杂货店等个体工商户提供集采集配、统仓统配等一站式服务</w:t>
      </w:r>
      <w:r>
        <w:rPr>
          <w:rFonts w:hint="eastAsia" w:ascii="仿宋_GB2312" w:hAnsi="仿宋_GB2312" w:eastAsia="仿宋_GB2312" w:cs="仿宋_GB2312"/>
          <w:color w:val="auto"/>
          <w:sz w:val="32"/>
          <w:szCs w:val="32"/>
          <w:lang w:eastAsia="zh-CN"/>
        </w:rPr>
        <mc:AlternateContent>
          <mc:Choice Requires="wps">
            <w:drawing>
              <wp:anchor distT="0" distB="0" distL="114300" distR="114300" simplePos="0" relativeHeight="251662336" behindDoc="0" locked="0" layoutInCell="1" allowOverlap="1">
                <wp:simplePos x="0" y="0"/>
                <wp:positionH relativeFrom="page">
                  <wp:posOffset>7486015</wp:posOffset>
                </wp:positionH>
                <wp:positionV relativeFrom="paragraph">
                  <wp:posOffset>2761615</wp:posOffset>
                </wp:positionV>
                <wp:extent cx="76200" cy="914400"/>
                <wp:effectExtent l="0" t="0" r="0" b="0"/>
                <wp:wrapNone/>
                <wp:docPr id="8" name="矩形 8"/>
                <wp:cNvGraphicFramePr/>
                <a:graphic xmlns:a="http://schemas.openxmlformats.org/drawingml/2006/main">
                  <a:graphicData uri="http://schemas.microsoft.com/office/word/2010/wordprocessingShape">
                    <wps:wsp>
                      <wps:cNvSpPr/>
                      <wps:spPr>
                        <a:xfrm>
                          <a:off x="0" y="0"/>
                          <a:ext cx="76200" cy="914400"/>
                        </a:xfrm>
                        <a:prstGeom prst="rect">
                          <a:avLst/>
                        </a:prstGeom>
                        <a:noFill/>
                        <a:ln>
                          <a:noFill/>
                        </a:ln>
                        <a:effectLst/>
                      </wps:spPr>
                      <wps:txbx>
                        <w:txbxContent>
                          <w:p>
                            <w:pPr>
                              <w:widowControl/>
                              <w:autoSpaceDE/>
                              <w:autoSpaceDN/>
                              <w:adjustRightInd/>
                              <w:spacing w:beforeLines="0" w:afterLines="0" w:line="1440" w:lineRule="atLeast"/>
                              <w:rPr>
                                <w:rFonts w:hint="default"/>
                                <w:sz w:val="24"/>
                                <w:szCs w:val="24"/>
                              </w:rPr>
                            </w:pPr>
                            <w:r>
                              <w:rPr>
                                <w:rFonts w:hint="default"/>
                                <w:sz w:val="24"/>
                                <w:szCs w:val="24"/>
                              </w:rPr>
                              <w:drawing>
                                <wp:inline distT="0" distB="0" distL="114300" distR="114300">
                                  <wp:extent cx="73025" cy="914400"/>
                                  <wp:effectExtent l="0" t="0" r="317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8"/>
                                          <a:stretch>
                                            <a:fillRect/>
                                          </a:stretch>
                                        </pic:blipFill>
                                        <pic:spPr>
                                          <a:xfrm>
                                            <a:off x="0" y="0"/>
                                            <a:ext cx="73025" cy="914400"/>
                                          </a:xfrm>
                                          <a:prstGeom prst="rect">
                                            <a:avLst/>
                                          </a:prstGeom>
                                          <a:noFill/>
                                          <a:ln>
                                            <a:noFill/>
                                          </a:ln>
                                        </pic:spPr>
                                      </pic:pic>
                                    </a:graphicData>
                                  </a:graphic>
                                </wp:inline>
                              </w:drawing>
                            </w:r>
                          </w:p>
                          <w:p>
                            <w:pPr>
                              <w:spacing w:beforeLines="0" w:afterLines="0"/>
                              <w:rPr>
                                <w:rFonts w:hint="default"/>
                                <w:sz w:val="24"/>
                                <w:szCs w:val="24"/>
                              </w:rPr>
                            </w:pPr>
                          </w:p>
                        </w:txbxContent>
                      </wps:txbx>
                      <wps:bodyPr lIns="0" tIns="0" rIns="0" bIns="0" upright="1"/>
                    </wps:wsp>
                  </a:graphicData>
                </a:graphic>
              </wp:anchor>
            </w:drawing>
          </mc:Choice>
          <mc:Fallback>
            <w:pict>
              <v:rect id="_x0000_s1026" o:spid="_x0000_s1026" o:spt="1" style="position:absolute;left:0pt;margin-left:589.45pt;margin-top:217.45pt;height:72pt;width:6pt;mso-position-horizontal-relative:page;z-index:251662336;mso-width-relative:page;mso-height-relative:page;" filled="f" stroked="f" coordsize="21600,21600" o:gfxdata="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">
                <v:fill on="f" focussize="0,0"/>
                <v:stroke on="f"/>
                <v:imagedata o:title=""/>
                <o:lock v:ext="edit" aspectratio="f"/>
                <v:textbox inset="0mm,0mm,0mm,0mm">
                  <w:txbxContent>
                    <w:p>
                      <w:pPr>
                        <w:widowControl/>
                        <w:autoSpaceDE/>
                        <w:autoSpaceDN/>
                        <w:adjustRightInd/>
                        <w:spacing w:beforeLines="0" w:afterLines="0" w:line="1440" w:lineRule="atLeast"/>
                        <w:rPr>
                          <w:rFonts w:hint="default"/>
                          <w:sz w:val="24"/>
                          <w:szCs w:val="24"/>
                        </w:rPr>
                      </w:pPr>
                      <w:r>
                        <w:rPr>
                          <w:rFonts w:hint="default"/>
                          <w:sz w:val="24"/>
                          <w:szCs w:val="24"/>
                        </w:rPr>
                        <w:drawing>
                          <wp:inline distT="0" distB="0" distL="114300" distR="114300">
                            <wp:extent cx="73025" cy="914400"/>
                            <wp:effectExtent l="0" t="0" r="317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8"/>
                                    <a:stretch>
                                      <a:fillRect/>
                                    </a:stretch>
                                  </pic:blipFill>
                                  <pic:spPr>
                                    <a:xfrm>
                                      <a:off x="0" y="0"/>
                                      <a:ext cx="73025" cy="914400"/>
                                    </a:xfrm>
                                    <a:prstGeom prst="rect">
                                      <a:avLst/>
                                    </a:prstGeom>
                                    <a:noFill/>
                                    <a:ln>
                                      <a:noFill/>
                                    </a:ln>
                                  </pic:spPr>
                                </pic:pic>
                              </a:graphicData>
                            </a:graphic>
                          </wp:inline>
                        </w:drawing>
                      </w:r>
                    </w:p>
                    <w:p>
                      <w:pPr>
                        <w:spacing w:beforeLines="0" w:afterLines="0"/>
                        <w:rPr>
                          <w:rFonts w:hint="default"/>
                          <w:sz w:val="24"/>
                          <w:szCs w:val="24"/>
                        </w:rPr>
                      </w:pPr>
                    </w:p>
                  </w:txbxContent>
                </v:textbox>
              </v:rect>
            </w:pict>
          </mc:Fallback>
        </mc:AlternateContent>
      </w:r>
      <w:r>
        <w:rPr>
          <w:rFonts w:hint="eastAsia" w:ascii="仿宋_GB2312" w:hAnsi="仿宋_GB2312" w:eastAsia="仿宋_GB2312" w:cs="仿宋_GB2312"/>
          <w:color w:val="auto"/>
          <w:sz w:val="32"/>
          <w:szCs w:val="32"/>
          <w:lang w:val="en-US" w:eastAsia="zh-CN"/>
        </w:rPr>
        <w:t>，并持续</w:t>
      </w:r>
      <w:r>
        <w:rPr>
          <w:rFonts w:hint="eastAsia" w:ascii="仿宋_GB2312" w:hAnsi="仿宋_GB2312" w:eastAsia="仿宋_GB2312" w:cs="仿宋_GB2312"/>
          <w:color w:val="auto"/>
          <w:sz w:val="32"/>
          <w:szCs w:val="32"/>
          <w:lang w:eastAsia="zh-CN"/>
        </w:rPr>
        <w:t>推动社区商业集聚发展转型升级。搭载便民服务功能，推进便利店＋餐饮休闲、无人便利店等新业态，提高便民服务水平。</w:t>
      </w:r>
      <w:r>
        <w:rPr>
          <w:rFonts w:hint="eastAsia" w:ascii="仿宋_GB2312" w:hAnsi="仿宋_GB2312" w:eastAsia="仿宋_GB2312" w:cs="仿宋_GB2312"/>
          <w:color w:val="auto"/>
          <w:sz w:val="32"/>
          <w:szCs w:val="32"/>
          <w:lang w:val="en-US" w:eastAsia="zh-CN"/>
        </w:rPr>
        <w:t>现已引进橘子24小时便利店落户东昌路五交化站临街楼，为辖区居民和游客提供便利服务，</w:t>
      </w:r>
      <w:r>
        <w:rPr>
          <w:rFonts w:hint="eastAsia" w:ascii="仿宋_GB2312" w:hAnsi="仿宋_GB2312" w:eastAsia="仿宋_GB2312" w:cs="仿宋_GB2312"/>
          <w:color w:val="auto"/>
          <w:sz w:val="32"/>
          <w:szCs w:val="32"/>
          <w:lang w:eastAsia="zh-CN"/>
        </w:rPr>
        <w:t>鼓励便利店、药店等社区商业网点延长营业时间，推动社区商业集聚发展转型升级。</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（四）创新服务能力。</w:t>
      </w:r>
      <w:r>
        <w:rPr>
          <w:rFonts w:hint="eastAsia" w:ascii="仿宋_GB2312" w:hAnsi="仿宋_GB2312" w:eastAsia="仿宋_GB2312" w:cs="仿宋_GB2312"/>
          <w:color w:val="auto"/>
          <w:sz w:val="32"/>
          <w:szCs w:val="32"/>
          <w:lang w:eastAsia="zh-CN"/>
        </w:rPr>
        <w:t>积极联动辖区非公党支部、民非组织、志愿服务队、文明单位等资源，共驻共建打造志愿服务体系，打造“一刻钟志愿服务圈·</w:t>
      </w:r>
      <w:r>
        <w:rPr>
          <w:rFonts w:hint="eastAsia" w:ascii="仿宋_GB2312" w:hAnsi="仿宋_GB2312" w:eastAsia="仿宋_GB2312" w:cs="仿宋_GB2312"/>
          <w:color w:val="auto"/>
          <w:sz w:val="32"/>
          <w:szCs w:val="32"/>
          <w:lang w:val="en-US" w:eastAsia="zh-CN"/>
        </w:rPr>
        <w:t>光岳</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lang w:val="en-US" w:eastAsia="zh-CN"/>
        </w:rPr>
        <w:t>户外劳动者服务</w:t>
      </w:r>
      <w:r>
        <w:rPr>
          <w:rFonts w:hint="eastAsia" w:ascii="仿宋_GB2312" w:hAnsi="仿宋_GB2312" w:eastAsia="仿宋_GB2312" w:cs="仿宋_GB2312"/>
          <w:color w:val="auto"/>
          <w:sz w:val="32"/>
          <w:szCs w:val="32"/>
          <w:lang w:eastAsia="zh-CN"/>
        </w:rPr>
        <w:t>驿站”，</w:t>
      </w:r>
      <w:r>
        <w:rPr>
          <w:rFonts w:hint="eastAsia" w:ascii="仿宋_GB2312" w:hAnsi="仿宋_GB2312" w:eastAsia="仿宋_GB2312" w:cs="仿宋_GB2312"/>
          <w:color w:val="auto"/>
          <w:sz w:val="32"/>
          <w:szCs w:val="32"/>
          <w:lang w:val="en-US" w:eastAsia="zh-CN"/>
        </w:rPr>
        <w:t>开展对户外劳动者、新业态劳动者和居民的多样化服务，现已搭</w:t>
      </w:r>
      <w:r>
        <w:rPr>
          <w:rFonts w:hint="eastAsia" w:ascii="仿宋_GB2312" w:hAnsi="仿宋_GB2312" w:eastAsia="仿宋_GB2312" w:cs="仿宋_GB2312"/>
          <w:color w:val="auto"/>
          <w:sz w:val="32"/>
          <w:szCs w:val="32"/>
          <w:lang w:eastAsia="zh-CN"/>
        </w:rPr>
        <w:t>建微信交流共享群，打造</w:t>
      </w:r>
      <w:r>
        <w:rPr>
          <w:rFonts w:hint="eastAsia" w:ascii="仿宋_GB2312" w:hAnsi="仿宋_GB2312" w:eastAsia="仿宋_GB2312" w:cs="仿宋_GB2312"/>
          <w:color w:val="auto"/>
          <w:sz w:val="32"/>
          <w:szCs w:val="32"/>
          <w:lang w:val="en-US" w:eastAsia="zh-CN"/>
        </w:rPr>
        <w:t>户外劳动者</w:t>
      </w:r>
      <w:r>
        <w:rPr>
          <w:rFonts w:hint="eastAsia" w:ascii="仿宋_GB2312" w:hAnsi="仿宋_GB2312" w:eastAsia="仿宋_GB2312" w:cs="仿宋_GB2312"/>
          <w:color w:val="auto"/>
          <w:sz w:val="32"/>
          <w:szCs w:val="32"/>
          <w:lang w:eastAsia="zh-CN"/>
        </w:rPr>
        <w:t>互助交流阵地，提供法律援助、岗位信息发布、政策咨询等信息服务，进一步满足广大</w:t>
      </w:r>
      <w:r>
        <w:rPr>
          <w:rFonts w:hint="eastAsia" w:ascii="仿宋_GB2312" w:hAnsi="仿宋_GB2312" w:eastAsia="仿宋_GB2312" w:cs="仿宋_GB2312"/>
          <w:color w:val="auto"/>
          <w:sz w:val="32"/>
          <w:szCs w:val="32"/>
          <w:lang w:val="en-US" w:eastAsia="zh-CN"/>
        </w:rPr>
        <w:t>居民</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生活</w:t>
      </w:r>
      <w:r>
        <w:rPr>
          <w:rFonts w:hint="eastAsia" w:ascii="仿宋_GB2312" w:hAnsi="仿宋_GB2312" w:eastAsia="仿宋_GB2312" w:cs="仿宋_GB2312"/>
          <w:color w:val="auto"/>
          <w:sz w:val="32"/>
          <w:szCs w:val="32"/>
          <w:lang w:eastAsia="zh-CN"/>
        </w:rPr>
        <w:t>需求，打造一站式全职业周期服务链条。</w:t>
      </w:r>
      <w:r>
        <w:rPr>
          <w:rFonts w:hint="eastAsia" w:ascii="仿宋_GB2312" w:hAnsi="仿宋_GB2312" w:eastAsia="仿宋_GB2312" w:cs="仿宋_GB2312"/>
          <w:color w:val="auto"/>
          <w:sz w:val="32"/>
          <w:szCs w:val="32"/>
          <w:lang w:val="en-US" w:eastAsia="zh-CN"/>
        </w:rPr>
        <w:t>以服务站微平台积极对接电商服务中心等部门，常态化开展培训，以社区周边门店企业现状进行分析，解析现今实体店铺面临的难题，创新电商发展新举措，使电商带动社区周边发展，增加实体店铺在网络渠道的竞争力。</w:t>
      </w:r>
      <w:r>
        <w:rPr>
          <w:rFonts w:hint="eastAsia" w:ascii="仿宋_GB2312" w:hAnsi="仿宋_GB2312" w:eastAsia="仿宋_GB2312" w:cs="仿宋_GB2312"/>
          <w:color w:val="auto"/>
          <w:sz w:val="32"/>
          <w:szCs w:val="32"/>
          <w:lang w:eastAsia="zh-CN"/>
        </w:rPr>
        <w:t>鼓励智慧商店建设，引导社区实体零售企业推进数字化转型，加强实体与网络平台融合，鼓励社区商业网点差异化发展，搭借电商平台，拓展线上市场，利用平台技术、流量、场景和资源优势，创新云逛街、云购物、云直播、云体验，拓展批发、零售、餐饮、住宿、美发等领域数字化营销活动，借助数字化营销等新媒体手段，拓展社交型便民生活圈应用场景。</w:t>
      </w:r>
      <w:r>
        <w:rPr>
          <w:rFonts w:hint="eastAsia" w:ascii="仿宋_GB2312" w:hAnsi="仿宋_GB2312" w:eastAsia="仿宋_GB2312" w:cs="仿宋_GB2312"/>
          <w:color w:val="auto"/>
          <w:sz w:val="32"/>
          <w:szCs w:val="32"/>
          <w:lang w:val="en-US" w:eastAsia="zh-CN"/>
        </w:rPr>
        <w:t>通过社区推广，电商可以更好的了解消费者的需求，增加实体店铺销售量，提高品牌知名度。同时，社区居民可以实现快捷的在线购物体验，享受更多优惠和服务。</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3.和平社区一刻钟便民生活圈建设子方案</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600" w:lineRule="exact"/>
        <w:ind w:left="0" w:right="0" w:rightChars="0" w:firstLine="672" w:firstLineChars="200"/>
        <w:jc w:val="left"/>
        <w:textAlignment w:val="auto"/>
        <w:outlineLvl w:val="9"/>
        <w:rPr>
          <w:rFonts w:hint="eastAsia" w:ascii="仿宋_GB2312" w:hAnsi="仿宋_GB2312" w:eastAsia="仿宋_GB2312" w:cs="仿宋_GB2312"/>
          <w:color w:val="auto"/>
          <w:spacing w:val="0"/>
          <w:w w:val="100"/>
          <w:position w:val="0"/>
          <w:sz w:val="32"/>
          <w:szCs w:val="32"/>
          <w:lang w:val="en-US"/>
        </w:rPr>
      </w:pPr>
      <w:r>
        <w:rPr>
          <w:rFonts w:hint="eastAsia" w:ascii="仿宋_GB2312" w:hAnsi="仿宋_GB2312" w:eastAsia="仿宋_GB2312" w:cs="仿宋_GB2312"/>
          <w:color w:val="auto"/>
          <w:w w:val="105"/>
          <w:kern w:val="2"/>
          <w:sz w:val="32"/>
          <w:szCs w:val="24"/>
          <w:lang w:val="en-US" w:eastAsia="zh-CN" w:bidi="ar-SA"/>
        </w:rPr>
        <w:t>和平社区一刻钟便民生活圈隶属于聊城市东昌府区柳园街道，东至徒骇河、西至花园路、南至陈口路、北接利民路，面积0.9平方公里，辖区共有居民4358户，总计1.4万人。社区内综合超市、便利店（生鲜便利店）、餐饮店、理发店、药店、洗衣店、家政店、维修店、综合服务店等业态齐全。</w:t>
      </w:r>
    </w:p>
    <w:p>
      <w:pPr>
        <w:pStyle w:val="5"/>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00" w:lineRule="exact"/>
        <w:ind w:left="0" w:right="0" w:firstLine="640" w:firstLineChars="200"/>
        <w:jc w:val="left"/>
        <w:textAlignment w:val="auto"/>
        <w:outlineLvl w:val="9"/>
        <w:rPr>
          <w:rFonts w:hint="eastAsia" w:eastAsia="仿宋_GB2312" w:cs="仿宋_GB2312"/>
          <w:color w:val="auto"/>
          <w:w w:val="105"/>
          <w:sz w:val="32"/>
          <w:szCs w:val="24"/>
        </w:rPr>
      </w:pPr>
      <w:r>
        <w:rPr>
          <w:rFonts w:hint="eastAsia" w:ascii="楷体_GB2312" w:hAnsi="楷体_GB2312" w:eastAsia="楷体_GB2312" w:cs="楷体_GB2312"/>
          <w:color w:val="auto"/>
          <w:kern w:val="0"/>
          <w:sz w:val="32"/>
          <w:szCs w:val="24"/>
          <w:shd w:val="clear" w:color="auto" w:fill="FFFFFF"/>
          <w:lang w:val="en-US" w:eastAsia="zh-CN" w:bidi="ar"/>
        </w:rPr>
        <w:t>（一）集约建设、商居和谐。</w:t>
      </w:r>
      <w:r>
        <w:rPr>
          <w:rFonts w:hint="eastAsia" w:eastAsia="仿宋_GB2312" w:cs="仿宋_GB2312"/>
          <w:color w:val="auto"/>
          <w:w w:val="105"/>
          <w:sz w:val="32"/>
          <w:szCs w:val="24"/>
        </w:rPr>
        <w:t>结合老旧小区改造、城市更新工作，盘活存量设施资源，集中建设新增设施，提高设施使用效率，避免大拆大建。营造商居和谐的环境，做到商业环境与居住环境相协调，业态发展和居民需求相匹配。支持有条件的社区改造提升商业中心、邻里中心等各类综合服务设施，完善“一站式便民服务功能</w:t>
      </w:r>
      <w:r>
        <w:rPr>
          <w:rFonts w:hint="eastAsia" w:eastAsia="仿宋_GB2312" w:cs="仿宋_GB2312"/>
          <w:color w:val="auto"/>
          <w:w w:val="105"/>
          <w:sz w:val="32"/>
          <w:szCs w:val="24"/>
          <w:lang w:eastAsia="zh-CN"/>
        </w:rPr>
        <w:t>”</w:t>
      </w:r>
      <w:r>
        <w:rPr>
          <w:rFonts w:hint="eastAsia" w:eastAsia="仿宋_GB2312" w:cs="仿宋_GB2312"/>
          <w:color w:val="auto"/>
          <w:w w:val="105"/>
          <w:sz w:val="32"/>
          <w:szCs w:val="24"/>
        </w:rPr>
        <w:t>，鼓励有条件的物业服务企业向养老、托育、家政、邮政快递等延伸。</w:t>
      </w:r>
    </w:p>
    <w:p>
      <w:pPr>
        <w:pStyle w:val="5"/>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00" w:lineRule="exact"/>
        <w:ind w:left="0" w:right="0" w:firstLine="640" w:firstLineChars="200"/>
        <w:jc w:val="both"/>
        <w:textAlignment w:val="auto"/>
        <w:outlineLvl w:val="9"/>
        <w:rPr>
          <w:rFonts w:hint="eastAsia" w:eastAsia="仿宋_GB2312" w:cs="仿宋_GB2312"/>
          <w:color w:val="auto"/>
          <w:w w:val="105"/>
          <w:sz w:val="32"/>
          <w:szCs w:val="24"/>
          <w:lang w:val="en-US" w:eastAsia="zh-CN"/>
        </w:rPr>
      </w:pPr>
      <w:r>
        <w:rPr>
          <w:rFonts w:hint="eastAsia" w:ascii="楷体_GB2312" w:hAnsi="楷体_GB2312" w:eastAsia="楷体_GB2312" w:cs="楷体_GB2312"/>
          <w:color w:val="auto"/>
          <w:kern w:val="0"/>
          <w:sz w:val="32"/>
          <w:szCs w:val="24"/>
          <w:shd w:val="clear" w:color="auto" w:fill="FFFFFF"/>
          <w:lang w:val="en-US" w:eastAsia="zh-CN" w:bidi="ar"/>
        </w:rPr>
        <w:t>（二）丰富商业业态。</w:t>
      </w:r>
      <w:r>
        <w:rPr>
          <w:rFonts w:hint="eastAsia" w:eastAsia="仿宋_GB2312" w:cs="仿宋_GB2312"/>
          <w:color w:val="auto"/>
          <w:w w:val="105"/>
          <w:sz w:val="32"/>
          <w:szCs w:val="24"/>
          <w:lang w:val="en-US" w:eastAsia="zh-CN"/>
        </w:rPr>
        <w:t>按照“缺什么补什么”原则，优先补齐、优选、配强基本保障类业态。基本保障类业态包括：便利店、综合超市、菜市场（生鲜超市）、早餐店、洗染店、美容美发店、照相文印店、家政服务点、维修点、药店、邮政快递综合服务点（快递公共取送点）、再生资源回收点等，满足社区居民的一日三餐、生活必需品、家庭生活服务等基本需求。鼓励社区便利店、超市等网点采取“一点多用”“一店多能”等方式，在确保安全卫生的前提下，适度搭载维修、打印复印、家政预约等项目，提供多样化便民服务。根据社区发展基础和居民生活消费需求，渐进式发展品质提升类业态。包括：社区养老服务中心、特色餐饮、新式书店、运动健身房、教育培训点、旅游服务点、保健养身店、茶艺咖啡馆等，优先发展居民最迫切需要的社区养老服务、婴幼儿照护服务、特色餐饮、运动健身等业态，推动商文旅融合，拓展特色化功能，助力社区居民消费升级。</w:t>
      </w:r>
    </w:p>
    <w:p>
      <w:pPr>
        <w:pStyle w:val="5"/>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00" w:lineRule="exact"/>
        <w:ind w:left="0" w:right="0" w:firstLine="640" w:firstLineChars="200"/>
        <w:jc w:val="both"/>
        <w:textAlignment w:val="auto"/>
        <w:outlineLvl w:val="9"/>
        <w:rPr>
          <w:rFonts w:hint="default" w:eastAsia="仿宋_GB2312" w:cs="仿宋_GB2312"/>
          <w:color w:val="auto"/>
          <w:w w:val="105"/>
          <w:sz w:val="32"/>
          <w:szCs w:val="24"/>
          <w:lang w:val="en-US" w:eastAsia="zh-CN"/>
        </w:rPr>
      </w:pPr>
      <w:r>
        <w:rPr>
          <w:rFonts w:hint="eastAsia" w:ascii="楷体_GB2312" w:hAnsi="楷体_GB2312" w:eastAsia="楷体_GB2312" w:cs="楷体_GB2312"/>
          <w:color w:val="auto"/>
          <w:kern w:val="0"/>
          <w:sz w:val="32"/>
          <w:szCs w:val="24"/>
          <w:shd w:val="clear" w:color="auto" w:fill="FFFFFF"/>
          <w:lang w:val="en-US" w:eastAsia="zh-CN" w:bidi="ar"/>
        </w:rPr>
        <w:t>（三）壮大市场主体。</w:t>
      </w:r>
      <w:r>
        <w:rPr>
          <w:rFonts w:hint="eastAsia" w:eastAsia="仿宋_GB2312" w:cs="仿宋_GB2312"/>
          <w:color w:val="auto"/>
          <w:w w:val="105"/>
          <w:sz w:val="32"/>
          <w:szCs w:val="24"/>
          <w:lang w:val="en-US" w:eastAsia="zh-CN"/>
        </w:rPr>
        <w:t>提高品牌连锁覆盖率。鼓励品牌连锁企业将商业资源下沉社区，通过社区商业网点直营连锁及商业特许经营方式，输出品牌、标准、管理和服务，实现品牌化、规范化发展。鼓励</w:t>
      </w:r>
      <w:r>
        <w:rPr>
          <w:rFonts w:hint="eastAsia" w:eastAsia="仿宋_GB2312" w:cs="仿宋_GB2312"/>
          <w:b w:val="0"/>
          <w:bCs w:val="0"/>
          <w:color w:val="auto"/>
          <w:w w:val="105"/>
          <w:sz w:val="32"/>
          <w:szCs w:val="24"/>
          <w:lang w:val="en-US" w:eastAsia="zh-CN"/>
        </w:rPr>
        <w:t>京都亿沣</w:t>
      </w:r>
      <w:r>
        <w:rPr>
          <w:rFonts w:hint="eastAsia" w:eastAsia="仿宋_GB2312" w:cs="仿宋_GB2312"/>
          <w:color w:val="auto"/>
          <w:w w:val="105"/>
          <w:sz w:val="32"/>
          <w:szCs w:val="24"/>
          <w:lang w:val="en-US" w:eastAsia="zh-CN"/>
        </w:rPr>
        <w:t>、振华、华盛等大企业开放供应链、物流渠道，为小商店、杂货店等个体工商户提供集采集配、统仓统配等一站式服务</w:t>
      </w:r>
      <w:r>
        <w:rPr>
          <w:rFonts w:hint="eastAsia" w:eastAsia="仿宋_GB2312" w:cs="仿宋_GB2312"/>
          <w:color w:val="auto"/>
          <w:w w:val="105"/>
          <w:sz w:val="32"/>
          <w:szCs w:val="24"/>
        </w:rPr>
        <mc:AlternateContent>
          <mc:Choice Requires="wps">
            <w:drawing>
              <wp:anchor distT="0" distB="0" distL="114300" distR="114300" simplePos="0" relativeHeight="251663360" behindDoc="0" locked="0" layoutInCell="1" allowOverlap="1">
                <wp:simplePos x="0" y="0"/>
                <wp:positionH relativeFrom="page">
                  <wp:posOffset>7486015</wp:posOffset>
                </wp:positionH>
                <wp:positionV relativeFrom="paragraph">
                  <wp:posOffset>2761615</wp:posOffset>
                </wp:positionV>
                <wp:extent cx="76200" cy="914400"/>
                <wp:effectExtent l="0" t="0" r="0" b="0"/>
                <wp:wrapNone/>
                <wp:docPr id="4" name="矩形 4"/>
                <wp:cNvGraphicFramePr/>
                <a:graphic xmlns:a="http://schemas.openxmlformats.org/drawingml/2006/main">
                  <a:graphicData uri="http://schemas.microsoft.com/office/word/2010/wordprocessingShape">
                    <wps:wsp>
                      <wps:cNvSpPr/>
                      <wps:spPr>
                        <a:xfrm>
                          <a:off x="0" y="0"/>
                          <a:ext cx="76200" cy="914400"/>
                        </a:xfrm>
                        <a:prstGeom prst="rect">
                          <a:avLst/>
                        </a:prstGeom>
                        <a:noFill/>
                        <a:ln>
                          <a:noFill/>
                        </a:ln>
                        <a:effectLst/>
                      </wps:spPr>
                      <wps:txbx>
                        <w:txbxContent>
                          <w:p>
                            <w:pPr>
                              <w:widowControl/>
                              <w:autoSpaceDE/>
                              <w:autoSpaceDN/>
                              <w:adjustRightInd/>
                              <w:spacing w:beforeLines="0" w:afterLines="0" w:line="1440" w:lineRule="atLeast"/>
                              <w:rPr>
                                <w:rFonts w:hint="default"/>
                                <w:sz w:val="24"/>
                                <w:szCs w:val="24"/>
                              </w:rPr>
                            </w:pPr>
                            <w:r>
                              <w:rPr>
                                <w:rFonts w:hint="default"/>
                                <w:sz w:val="24"/>
                                <w:szCs w:val="24"/>
                              </w:rPr>
                              <w:drawing>
                                <wp:inline distT="0" distB="0" distL="114300" distR="114300">
                                  <wp:extent cx="73025" cy="914400"/>
                                  <wp:effectExtent l="0" t="0" r="3175"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73025" cy="914400"/>
                                          </a:xfrm>
                                          <a:prstGeom prst="rect">
                                            <a:avLst/>
                                          </a:prstGeom>
                                          <a:noFill/>
                                          <a:ln>
                                            <a:noFill/>
                                          </a:ln>
                                        </pic:spPr>
                                      </pic:pic>
                                    </a:graphicData>
                                  </a:graphic>
                                </wp:inline>
                              </w:drawing>
                            </w:r>
                          </w:p>
                          <w:p>
                            <w:pPr>
                              <w:spacing w:beforeLines="0" w:afterLines="0"/>
                              <w:rPr>
                                <w:rFonts w:hint="default"/>
                                <w:sz w:val="24"/>
                                <w:szCs w:val="24"/>
                              </w:rPr>
                            </w:pPr>
                          </w:p>
                        </w:txbxContent>
                      </wps:txbx>
                      <wps:bodyPr lIns="0" tIns="0" rIns="0" bIns="0" upright="1"/>
                    </wps:wsp>
                  </a:graphicData>
                </a:graphic>
              </wp:anchor>
            </w:drawing>
          </mc:Choice>
          <mc:Fallback>
            <w:pict>
              <v:rect id="_x0000_s1026" o:spid="_x0000_s1026" o:spt="1" style="position:absolute;left:0pt;margin-left:589.45pt;margin-top:217.45pt;height:72pt;width:6pt;mso-position-horizontal-relative:page;z-index:251663360;mso-width-relative:page;mso-height-relative:page;" filled="f" stroked="f" coordsize="21600,21600" o:gfxdata="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">
                <v:fill on="f" focussize="0,0"/>
                <v:stroke on="f"/>
                <v:imagedata o:title=""/>
                <o:lock v:ext="edit" aspectratio="f"/>
                <v:textbox inset="0mm,0mm,0mm,0mm">
                  <w:txbxContent>
                    <w:p>
                      <w:pPr>
                        <w:widowControl/>
                        <w:autoSpaceDE/>
                        <w:autoSpaceDN/>
                        <w:adjustRightInd/>
                        <w:spacing w:beforeLines="0" w:afterLines="0" w:line="1440" w:lineRule="atLeast"/>
                        <w:rPr>
                          <w:rFonts w:hint="default"/>
                          <w:sz w:val="24"/>
                          <w:szCs w:val="24"/>
                        </w:rPr>
                      </w:pPr>
                      <w:r>
                        <w:rPr>
                          <w:rFonts w:hint="default"/>
                          <w:sz w:val="24"/>
                          <w:szCs w:val="24"/>
                        </w:rPr>
                        <w:drawing>
                          <wp:inline distT="0" distB="0" distL="114300" distR="114300">
                            <wp:extent cx="73025" cy="914400"/>
                            <wp:effectExtent l="0" t="0" r="3175"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73025" cy="914400"/>
                                    </a:xfrm>
                                    <a:prstGeom prst="rect">
                                      <a:avLst/>
                                    </a:prstGeom>
                                    <a:noFill/>
                                    <a:ln>
                                      <a:noFill/>
                                    </a:ln>
                                  </pic:spPr>
                                </pic:pic>
                              </a:graphicData>
                            </a:graphic>
                          </wp:inline>
                        </w:drawing>
                      </w:r>
                    </w:p>
                    <w:p>
                      <w:pPr>
                        <w:spacing w:beforeLines="0" w:afterLines="0"/>
                        <w:rPr>
                          <w:rFonts w:hint="default"/>
                          <w:sz w:val="24"/>
                          <w:szCs w:val="24"/>
                        </w:rPr>
                      </w:pPr>
                    </w:p>
                  </w:txbxContent>
                </v:textbox>
              </v:rect>
            </w:pict>
          </mc:Fallback>
        </mc:AlternateContent>
      </w:r>
      <w:r>
        <w:rPr>
          <w:rFonts w:hint="eastAsia" w:eastAsia="仿宋_GB2312" w:cs="仿宋_GB2312"/>
          <w:color w:val="auto"/>
          <w:w w:val="105"/>
          <w:sz w:val="32"/>
          <w:szCs w:val="24"/>
          <w:lang w:val="en-US" w:eastAsia="zh-CN"/>
        </w:rPr>
        <w:t>，并持续</w:t>
      </w:r>
      <w:r>
        <w:rPr>
          <w:rFonts w:hint="eastAsia" w:eastAsia="仿宋_GB2312" w:cs="仿宋_GB2312"/>
          <w:color w:val="auto"/>
          <w:w w:val="105"/>
          <w:sz w:val="32"/>
          <w:szCs w:val="24"/>
        </w:rPr>
        <w:t>推动社区商业集聚发展转型升级。</w:t>
      </w:r>
      <w:r>
        <w:rPr>
          <w:rFonts w:hint="eastAsia" w:eastAsia="仿宋_GB2312" w:cs="仿宋_GB2312"/>
          <w:color w:val="auto"/>
          <w:w w:val="105"/>
          <w:sz w:val="32"/>
          <w:szCs w:val="24"/>
          <w:lang w:val="en-US" w:eastAsia="zh-CN"/>
        </w:rPr>
        <w:t>要完善适老化服务，鼓励市场主体设立为老年人服务的专柜和体验店，保留现金、银行卡等传统支付方式，提供简便易行、符合老年人特点的服务。推动老年服务机构做好助餐、代购等实物消费配供以及理疗养生、居家照顾、紧急援助等服务消费，提高便民服务的“温度”。</w:t>
      </w:r>
    </w:p>
    <w:p>
      <w:pPr>
        <w:pStyle w:val="5"/>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00" w:lineRule="exact"/>
        <w:ind w:left="0" w:right="0" w:firstLine="640" w:firstLineChars="200"/>
        <w:jc w:val="both"/>
        <w:textAlignment w:val="auto"/>
        <w:outlineLvl w:val="9"/>
        <w:rPr>
          <w:rFonts w:hint="default" w:eastAsia="仿宋_GB2312" w:cs="仿宋_GB2312"/>
          <w:color w:val="auto"/>
          <w:w w:val="105"/>
          <w:sz w:val="32"/>
          <w:szCs w:val="24"/>
          <w:lang w:val="en-US" w:eastAsia="zh-CN"/>
        </w:rPr>
      </w:pPr>
      <w:r>
        <w:rPr>
          <w:rFonts w:hint="eastAsia" w:ascii="楷体_GB2312" w:hAnsi="楷体_GB2312" w:eastAsia="楷体_GB2312" w:cs="楷体_GB2312"/>
          <w:color w:val="auto"/>
          <w:kern w:val="0"/>
          <w:sz w:val="32"/>
          <w:szCs w:val="24"/>
          <w:shd w:val="clear" w:color="auto" w:fill="FFFFFF"/>
          <w:lang w:val="en-US" w:eastAsia="zh-CN" w:bidi="ar"/>
        </w:rPr>
        <w:t>（四）创新服务能力。</w:t>
      </w:r>
      <w:r>
        <w:rPr>
          <w:rFonts w:hint="eastAsia" w:eastAsia="仿宋_GB2312" w:cs="仿宋_GB2312"/>
          <w:color w:val="auto"/>
          <w:w w:val="105"/>
          <w:sz w:val="32"/>
          <w:szCs w:val="24"/>
          <w:lang w:val="en-US" w:eastAsia="zh-CN"/>
        </w:rPr>
        <w:t>让“以网为生”成为可能。拓展智能体验，鼓励</w:t>
      </w:r>
      <w:r>
        <w:rPr>
          <w:rFonts w:hint="eastAsia" w:ascii="仿宋_GB2312" w:hAnsi="仿宋_GB2312" w:eastAsia="仿宋_GB2312" w:cs="仿宋_GB2312"/>
          <w:color w:val="auto"/>
          <w:w w:val="105"/>
          <w:sz w:val="32"/>
          <w:szCs w:val="24"/>
          <w:lang w:val="en-US" w:eastAsia="zh-CN"/>
        </w:rPr>
        <w:t>应用5G、大数据、人工智能、物联网等先进信息技术，驱动发展无接触交易、智能结算、网订店取(送)、直播带货、自助售卖等创新模式，拓展便民生活圈应用场景。大型传统商超（</w:t>
      </w:r>
      <w:r>
        <w:rPr>
          <w:rFonts w:hint="eastAsia" w:ascii="仿宋_GB2312" w:hAnsi="仿宋_GB2312" w:eastAsia="仿宋_GB2312" w:cs="仿宋_GB2312"/>
          <w:b w:val="0"/>
          <w:bCs w:val="0"/>
          <w:color w:val="auto"/>
          <w:w w:val="105"/>
          <w:sz w:val="32"/>
          <w:szCs w:val="24"/>
          <w:lang w:val="en-US" w:eastAsia="zh-CN"/>
        </w:rPr>
        <w:t>京都亿沣</w:t>
      </w:r>
      <w:r>
        <w:rPr>
          <w:rFonts w:hint="eastAsia" w:ascii="仿宋_GB2312" w:hAnsi="仿宋_GB2312" w:eastAsia="仿宋_GB2312" w:cs="仿宋_GB2312"/>
          <w:color w:val="auto"/>
          <w:w w:val="105"/>
          <w:sz w:val="32"/>
          <w:szCs w:val="24"/>
          <w:lang w:val="en-US" w:eastAsia="zh-CN"/>
        </w:rPr>
        <w:t>、振华、华盛）积极推动线上线下融合，提供即时配送服务，更好服务社区居民。积极联动辖区非公党支部、民非组织、志愿服务队、文明单位等资源，共驻共建打造志愿服务体系，打造“一刻钟志愿服务圈·和平社区</w:t>
      </w:r>
      <w:r>
        <w:rPr>
          <w:rFonts w:hint="eastAsia" w:eastAsia="仿宋_GB2312" w:cs="仿宋_GB2312"/>
          <w:color w:val="auto"/>
          <w:w w:val="105"/>
          <w:sz w:val="32"/>
          <w:szCs w:val="24"/>
          <w:lang w:val="en-US" w:eastAsia="zh-CN"/>
        </w:rPr>
        <w:t>公益大集共享驿站”，包含有求必应的“和”意共享接待室，提供小修小补便民点具体位置及电话，问询并记录急难愁盼问题，对接连线处理；包含公益助困的“绿”色共创成果展，搭建公益助农展销平台，进行活动记录及展示；暖心服务的“青”春共助能量站，在线上利用公众号设置“求助榜”，群众既可以将自己的需求晒出来，寻求帮助，也可利用驿站为他人提供义务理发、交通引导、爱心早餐、垃圾分类指导、老年人手机使用培训等志愿服务。搭建二手闲置资源交换利用的“易”平台，推动建设使居民家中闲置物品进行交换或者低价出售的“跳蚤市场”，使闲置的物品（旧衣回收、电子产品、图书、儿童玩具等）动起来。以一刻钟生活服务圈为抓手，让绿色环保的可持续发展理念，贯穿于社区治理的全过程。</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w w:val="105"/>
          <w:kern w:val="2"/>
          <w:sz w:val="32"/>
          <w:szCs w:val="24"/>
          <w:lang w:val="en-US" w:eastAsia="zh-CN" w:bidi="ar-SA"/>
        </w:rPr>
      </w:pPr>
      <w:r>
        <w:rPr>
          <w:rFonts w:hint="eastAsia" w:ascii="黑体" w:hAnsi="黑体" w:eastAsia="黑体" w:cs="黑体"/>
          <w:color w:val="auto"/>
          <w:sz w:val="32"/>
          <w:szCs w:val="32"/>
          <w:lang w:val="en-US" w:eastAsia="zh-CN"/>
        </w:rPr>
        <w:t>4.广场社区一刻钟便民生活圈建设子方案</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600" w:lineRule="exact"/>
        <w:ind w:left="0" w:right="0" w:rightChars="0" w:firstLine="672" w:firstLineChars="200"/>
        <w:jc w:val="both"/>
        <w:textAlignment w:val="auto"/>
        <w:outlineLvl w:val="9"/>
        <w:rPr>
          <w:rFonts w:hint="eastAsia" w:ascii="仿宋_GB2312" w:hAnsi="仿宋_GB2312" w:eastAsia="仿宋_GB2312" w:cs="仿宋_GB2312"/>
          <w:color w:val="auto"/>
          <w:spacing w:val="0"/>
          <w:w w:val="100"/>
          <w:position w:val="0"/>
          <w:sz w:val="32"/>
          <w:szCs w:val="32"/>
          <w:lang w:val="en-US"/>
        </w:rPr>
      </w:pPr>
      <w:r>
        <w:rPr>
          <w:rFonts w:hint="eastAsia" w:ascii="仿宋_GB2312" w:hAnsi="仿宋_GB2312" w:eastAsia="仿宋_GB2312" w:cs="仿宋_GB2312"/>
          <w:color w:val="auto"/>
          <w:w w:val="105"/>
          <w:kern w:val="2"/>
          <w:sz w:val="32"/>
          <w:szCs w:val="24"/>
          <w:lang w:val="en-US" w:eastAsia="zh-CN" w:bidi="ar-SA"/>
        </w:rPr>
        <w:t>广场社区东起柳园北路西至卫育北路，南起东昌西路北至兴华西路，辖区面积0.5平方公里，辖区内人口约9400人。该社区位于市区经济、文化、商业、休闲娱乐的中心区域，拥有全市最大的休闲广场——人民广场，聊城市人民医院、聊城三中、北顺小学、顺屹家居、人民广场、华夏银行、京都亿沣超市等单位都坐落在广场社区辖区内。辖区内公共服务设施能够基本满足方便居民生活、提高居住品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Calibri" w:hAnsi="Calibri" w:eastAsia="仿宋_GB2312" w:cs="仿宋_GB2312"/>
          <w:color w:val="auto"/>
          <w:w w:val="105"/>
          <w:kern w:val="2"/>
          <w:sz w:val="32"/>
          <w:szCs w:val="24"/>
          <w:lang w:val="en-US" w:eastAsia="zh-CN" w:bidi="ar-SA"/>
        </w:rPr>
      </w:pPr>
      <w:r>
        <w:rPr>
          <w:rFonts w:hint="eastAsia" w:ascii="楷体_GB2312" w:hAnsi="楷体_GB2312" w:eastAsia="楷体_GB2312" w:cs="楷体_GB2312"/>
          <w:color w:val="auto"/>
          <w:kern w:val="0"/>
          <w:sz w:val="32"/>
          <w:szCs w:val="24"/>
          <w:shd w:val="clear" w:color="auto" w:fill="FFFFFF"/>
          <w:lang w:val="en-US" w:eastAsia="zh-CN" w:bidi="ar"/>
        </w:rPr>
        <w:t>（一）充分利用现有空间。</w:t>
      </w:r>
      <w:r>
        <w:rPr>
          <w:rFonts w:hint="eastAsia" w:ascii="Calibri" w:hAnsi="Calibri" w:eastAsia="仿宋_GB2312" w:cs="仿宋_GB2312"/>
          <w:color w:val="auto"/>
          <w:w w:val="105"/>
          <w:kern w:val="2"/>
          <w:sz w:val="32"/>
          <w:szCs w:val="24"/>
          <w:lang w:val="en-US" w:eastAsia="zh-CN" w:bidi="ar-SA"/>
        </w:rPr>
        <w:t>充分盘活</w:t>
      </w:r>
      <w:r>
        <w:rPr>
          <w:rFonts w:hint="eastAsia" w:eastAsia="仿宋_GB2312" w:cs="仿宋_GB2312"/>
          <w:color w:val="auto"/>
          <w:w w:val="105"/>
          <w:kern w:val="2"/>
          <w:sz w:val="32"/>
          <w:szCs w:val="24"/>
          <w:lang w:val="en-US" w:eastAsia="zh-CN" w:bidi="ar-SA"/>
        </w:rPr>
        <w:t>社区</w:t>
      </w:r>
      <w:r>
        <w:rPr>
          <w:rFonts w:hint="eastAsia" w:ascii="Calibri" w:hAnsi="Calibri" w:eastAsia="仿宋_GB2312" w:cs="仿宋_GB2312"/>
          <w:color w:val="auto"/>
          <w:w w:val="105"/>
          <w:kern w:val="2"/>
          <w:sz w:val="32"/>
          <w:szCs w:val="24"/>
          <w:lang w:val="en-US" w:eastAsia="zh-CN" w:bidi="ar-SA"/>
        </w:rPr>
        <w:t>闲置空间资源，突破原有政策限制，加快商业和服务功能配套。把一部分</w:t>
      </w:r>
      <w:r>
        <w:rPr>
          <w:rFonts w:hint="eastAsia" w:eastAsia="仿宋_GB2312" w:cs="仿宋_GB2312"/>
          <w:color w:val="auto"/>
          <w:w w:val="105"/>
          <w:kern w:val="2"/>
          <w:sz w:val="32"/>
          <w:szCs w:val="24"/>
          <w:lang w:val="en-US" w:eastAsia="zh-CN" w:bidi="ar-SA"/>
        </w:rPr>
        <w:t>老旧小区的公共用房</w:t>
      </w:r>
      <w:r>
        <w:rPr>
          <w:rFonts w:hint="eastAsia" w:ascii="Calibri" w:hAnsi="Calibri" w:eastAsia="仿宋_GB2312" w:cs="仿宋_GB2312"/>
          <w:color w:val="auto"/>
          <w:w w:val="105"/>
          <w:kern w:val="2"/>
          <w:sz w:val="32"/>
          <w:szCs w:val="24"/>
          <w:lang w:val="en-US" w:eastAsia="zh-CN" w:bidi="ar-SA"/>
        </w:rPr>
        <w:t>、地下室等空间尽快利用起来，规划建设一批社区商业设施和社区服务设施</w:t>
      </w:r>
      <w:r>
        <w:rPr>
          <w:rFonts w:hint="eastAsia" w:eastAsia="仿宋_GB2312" w:cs="仿宋_GB2312"/>
          <w:color w:val="auto"/>
          <w:w w:val="105"/>
          <w:kern w:val="2"/>
          <w:sz w:val="32"/>
          <w:szCs w:val="24"/>
          <w:lang w:val="en-US" w:eastAsia="zh-CN" w:bidi="ar-SA"/>
        </w:rPr>
        <w:t>，</w:t>
      </w:r>
      <w:r>
        <w:rPr>
          <w:rFonts w:hint="eastAsia" w:ascii="Calibri" w:hAnsi="Calibri" w:eastAsia="仿宋_GB2312" w:cs="仿宋_GB2312"/>
          <w:color w:val="auto"/>
          <w:w w:val="105"/>
          <w:kern w:val="2"/>
          <w:sz w:val="32"/>
          <w:szCs w:val="24"/>
          <w:lang w:val="en-US" w:eastAsia="zh-CN" w:bidi="ar-SA"/>
        </w:rPr>
        <w:t>利用现有场地或闲置空间开设修鞋、缝补等便民服务点，为居民提供相应服务。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Calibri" w:hAnsi="Calibri" w:eastAsia="仿宋_GB2312" w:cs="仿宋_GB2312"/>
          <w:color w:val="auto"/>
          <w:w w:val="105"/>
          <w:kern w:val="2"/>
          <w:sz w:val="32"/>
          <w:szCs w:val="24"/>
          <w:lang w:val="en-US" w:eastAsia="zh-CN" w:bidi="ar-SA"/>
        </w:rPr>
      </w:pPr>
      <w:r>
        <w:rPr>
          <w:rFonts w:hint="eastAsia" w:ascii="楷体_GB2312" w:hAnsi="楷体_GB2312" w:eastAsia="楷体_GB2312" w:cs="楷体_GB2312"/>
          <w:color w:val="auto"/>
          <w:kern w:val="0"/>
          <w:sz w:val="32"/>
          <w:szCs w:val="24"/>
          <w:shd w:val="clear" w:color="auto" w:fill="FFFFFF"/>
          <w:lang w:val="en-US" w:eastAsia="zh-CN" w:bidi="ar"/>
        </w:rPr>
        <w:t>（二）做好养老型社区服务。</w:t>
      </w:r>
      <w:r>
        <w:rPr>
          <w:rFonts w:hint="eastAsia" w:ascii="Calibri" w:hAnsi="Calibri" w:eastAsia="仿宋_GB2312" w:cs="仿宋_GB2312"/>
          <w:color w:val="auto"/>
          <w:w w:val="105"/>
          <w:kern w:val="2"/>
          <w:sz w:val="32"/>
          <w:szCs w:val="24"/>
          <w:lang w:val="en-US" w:eastAsia="zh-CN" w:bidi="ar-SA"/>
        </w:rPr>
        <w:t>结合辖区内老年人占比较大的现状，广场社区秉持区域化、开放式、服务型统筹整合的工作理念，结合群众需求链接辖区内的医疗资源，持续开展各类健康活动、关爱“老人健康”等义诊活动、免费体检活动，全方位、多层次满足居民问诊需求，为辖区居民健康“保驾护航”，让居民享受到家门口“一刻钟健康生活圈”的更多便捷实惠。</w:t>
      </w:r>
    </w:p>
    <w:p>
      <w:pPr>
        <w:pStyle w:val="5"/>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00" w:lineRule="exact"/>
        <w:ind w:right="0" w:firstLine="640" w:firstLineChars="200"/>
        <w:jc w:val="both"/>
        <w:textAlignment w:val="auto"/>
        <w:outlineLvl w:val="9"/>
        <w:rPr>
          <w:rFonts w:hint="eastAsia" w:ascii="Calibri" w:hAnsi="Calibri" w:eastAsia="仿宋_GB2312" w:cs="仿宋_GB2312"/>
          <w:color w:val="auto"/>
          <w:w w:val="105"/>
          <w:kern w:val="2"/>
          <w:sz w:val="32"/>
          <w:szCs w:val="24"/>
          <w:lang w:val="en-US" w:eastAsia="zh-CN" w:bidi="ar-SA"/>
        </w:rPr>
      </w:pPr>
      <w:r>
        <w:rPr>
          <w:rFonts w:hint="eastAsia" w:ascii="楷体_GB2312" w:hAnsi="楷体_GB2312" w:eastAsia="楷体_GB2312" w:cs="楷体_GB2312"/>
          <w:color w:val="auto"/>
          <w:kern w:val="0"/>
          <w:sz w:val="32"/>
          <w:szCs w:val="24"/>
          <w:shd w:val="clear" w:color="auto" w:fill="FFFFFF"/>
          <w:lang w:val="en-US" w:eastAsia="zh-CN" w:bidi="ar"/>
        </w:rPr>
        <w:t>（三）壮大市场主体。</w:t>
      </w:r>
      <w:r>
        <w:rPr>
          <w:rFonts w:hint="eastAsia" w:ascii="Calibri" w:hAnsi="Calibri" w:eastAsia="仿宋_GB2312" w:cs="仿宋_GB2312"/>
          <w:color w:val="auto"/>
          <w:w w:val="105"/>
          <w:kern w:val="2"/>
          <w:sz w:val="32"/>
          <w:szCs w:val="24"/>
          <w:lang w:val="en-US" w:eastAsia="zh-CN" w:bidi="ar-SA"/>
        </w:rPr>
        <w:t>满足新时代居民生活消费升级新</w:t>
      </w:r>
      <w:r>
        <w:rPr>
          <w:rFonts w:hint="eastAsia" w:eastAsia="仿宋_GB2312" w:cs="仿宋_GB2312"/>
          <w:color w:val="auto"/>
          <w:w w:val="105"/>
          <w:kern w:val="2"/>
          <w:sz w:val="32"/>
          <w:szCs w:val="24"/>
          <w:lang w:val="en-US" w:eastAsia="zh-CN" w:bidi="ar-SA"/>
        </w:rPr>
        <w:t>需求</w:t>
      </w:r>
      <w:r>
        <w:rPr>
          <w:rFonts w:hint="eastAsia" w:ascii="Calibri" w:hAnsi="Calibri" w:eastAsia="仿宋_GB2312" w:cs="仿宋_GB2312"/>
          <w:color w:val="auto"/>
          <w:w w:val="105"/>
          <w:kern w:val="2"/>
          <w:sz w:val="32"/>
          <w:szCs w:val="24"/>
          <w:lang w:val="en-US" w:eastAsia="zh-CN" w:bidi="ar-SA"/>
        </w:rPr>
        <w:t>，鼓励现有专业运营商整体规划、统一招商、统一运营、规范管理，提供方便老年人、残疾人基本需要的上门服务方式，建立健全社区电商（含社区团购等）领域市场准入规则，划清底线、加强监管、规范秩序。</w:t>
      </w:r>
    </w:p>
    <w:p>
      <w:pPr>
        <w:pStyle w:val="5"/>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00" w:lineRule="exact"/>
        <w:ind w:right="0" w:firstLine="640" w:firstLineChars="200"/>
        <w:jc w:val="both"/>
        <w:textAlignment w:val="auto"/>
        <w:outlineLvl w:val="9"/>
        <w:rPr>
          <w:rFonts w:hint="eastAsia" w:ascii="Calibri" w:hAnsi="Calibri" w:eastAsia="仿宋_GB2312" w:cs="仿宋_GB2312"/>
          <w:color w:val="auto"/>
          <w:w w:val="105"/>
          <w:kern w:val="2"/>
          <w:sz w:val="32"/>
          <w:szCs w:val="24"/>
          <w:lang w:val="en-US" w:eastAsia="zh-CN" w:bidi="ar-SA"/>
        </w:rPr>
      </w:pPr>
      <w:r>
        <w:rPr>
          <w:rFonts w:hint="eastAsia" w:ascii="楷体_GB2312" w:hAnsi="楷体_GB2312" w:eastAsia="楷体_GB2312" w:cs="楷体_GB2312"/>
          <w:color w:val="auto"/>
          <w:kern w:val="0"/>
          <w:sz w:val="32"/>
          <w:szCs w:val="24"/>
          <w:shd w:val="clear" w:color="auto" w:fill="FFFFFF"/>
          <w:lang w:val="en-US" w:eastAsia="zh-CN" w:bidi="ar"/>
        </w:rPr>
        <w:t>（四）创新服务能力。</w:t>
      </w:r>
      <w:r>
        <w:rPr>
          <w:rFonts w:hint="eastAsia" w:ascii="Calibri" w:hAnsi="Calibri" w:eastAsia="仿宋_GB2312" w:cs="仿宋_GB2312"/>
          <w:color w:val="auto"/>
          <w:w w:val="105"/>
          <w:kern w:val="2"/>
          <w:sz w:val="32"/>
          <w:szCs w:val="24"/>
          <w:lang w:val="en-US" w:eastAsia="zh-CN" w:bidi="ar-SA"/>
        </w:rPr>
        <w:t>链接“便民生活圈”的服务平台，通过数字化手段整合和优化社区服务资源，为居民提供一站式的生活服务解决方案。</w:t>
      </w:r>
      <w:r>
        <w:rPr>
          <w:rFonts w:hint="default" w:ascii="Calibri" w:hAnsi="Calibri" w:eastAsia="仿宋_GB2312" w:cs="仿宋_GB2312"/>
          <w:color w:val="auto"/>
          <w:w w:val="105"/>
          <w:kern w:val="2"/>
          <w:sz w:val="32"/>
          <w:szCs w:val="24"/>
          <w:lang w:val="en-US" w:eastAsia="zh-CN" w:bidi="ar-SA"/>
        </w:rPr>
        <w:t>通过该平台，居民可以享受到购物、餐饮、家政、医疗、教育等多方面的便捷服务，构建一个开放、共享的服务平台，促进商家和居民之间的互动和信任。实现生活服务的快速响应和高效匹配。</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w w:val="105"/>
          <w:kern w:val="2"/>
          <w:sz w:val="32"/>
          <w:szCs w:val="24"/>
          <w:lang w:val="en-US" w:eastAsia="zh-CN" w:bidi="ar-SA"/>
        </w:rPr>
      </w:pPr>
      <w:r>
        <w:rPr>
          <w:rFonts w:hint="eastAsia" w:ascii="黑体" w:hAnsi="黑体" w:eastAsia="黑体" w:cs="黑体"/>
          <w:color w:val="auto"/>
          <w:sz w:val="32"/>
          <w:szCs w:val="32"/>
          <w:lang w:val="en-US" w:eastAsia="zh-CN"/>
        </w:rPr>
        <w:t>5.八一社区一刻钟便民生活圈建设子方案</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600" w:lineRule="exact"/>
        <w:ind w:left="0" w:right="0" w:rightChars="0" w:firstLine="672" w:firstLineChars="200"/>
        <w:jc w:val="both"/>
        <w:textAlignment w:val="auto"/>
        <w:outlineLvl w:val="9"/>
        <w:rPr>
          <w:rFonts w:hint="eastAsia" w:ascii="仿宋_GB2312" w:hAnsi="仿宋_GB2312" w:eastAsia="仿宋_GB2312" w:cs="仿宋_GB2312"/>
          <w:color w:val="auto"/>
          <w:spacing w:val="0"/>
          <w:w w:val="100"/>
          <w:position w:val="0"/>
          <w:sz w:val="32"/>
          <w:szCs w:val="32"/>
          <w:lang w:val="en-US"/>
        </w:rPr>
      </w:pPr>
      <w:r>
        <w:rPr>
          <w:rFonts w:hint="eastAsia" w:ascii="仿宋_GB2312" w:hAnsi="仿宋_GB2312" w:eastAsia="仿宋_GB2312" w:cs="仿宋_GB2312"/>
          <w:color w:val="auto"/>
          <w:w w:val="105"/>
          <w:kern w:val="2"/>
          <w:sz w:val="32"/>
          <w:szCs w:val="24"/>
          <w:lang w:val="en-US" w:eastAsia="zh-CN" w:bidi="ar-SA"/>
        </w:rPr>
        <w:t>八一社区位于聊城市区中心，辖区范围南至东昌路，北至兴华路，东至益民胡同，西至柳园路，辖区有9个居民小区、1个资产管理委员会。该社区是聊城市委、聊城军分区等党政军机关驻地，是金鼎商厦、五星百货、新东方广场等大型商贸娱乐场所集聚地，属于典型的城市社区。</w:t>
      </w:r>
    </w:p>
    <w:p>
      <w:pPr>
        <w:pStyle w:val="5"/>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00" w:lineRule="exact"/>
        <w:ind w:left="0" w:right="0" w:firstLine="640" w:firstLineChars="200"/>
        <w:jc w:val="both"/>
        <w:textAlignment w:val="auto"/>
        <w:outlineLvl w:val="9"/>
        <w:rPr>
          <w:rFonts w:hint="eastAsia" w:eastAsia="仿宋_GB2312" w:cs="仿宋_GB2312"/>
          <w:color w:val="auto"/>
          <w:w w:val="105"/>
          <w:sz w:val="32"/>
          <w:szCs w:val="24"/>
        </w:rPr>
      </w:pPr>
      <w:r>
        <w:rPr>
          <w:rFonts w:hint="eastAsia" w:ascii="楷体_GB2312" w:hAnsi="楷体_GB2312" w:eastAsia="楷体_GB2312" w:cs="楷体_GB2312"/>
          <w:color w:val="auto"/>
          <w:kern w:val="0"/>
          <w:sz w:val="32"/>
          <w:szCs w:val="24"/>
          <w:shd w:val="clear" w:color="auto" w:fill="FFFFFF"/>
          <w:lang w:val="en-US" w:eastAsia="zh-CN" w:bidi="ar"/>
        </w:rPr>
        <w:t>（一）加快补齐设施短板、充实社区服务业态。</w:t>
      </w:r>
      <w:r>
        <w:rPr>
          <w:rFonts w:hint="eastAsia" w:eastAsia="仿宋_GB2312" w:cs="仿宋_GB2312"/>
          <w:color w:val="auto"/>
          <w:w w:val="105"/>
          <w:sz w:val="32"/>
          <w:szCs w:val="24"/>
          <w:lang w:val="en-US" w:eastAsia="zh-CN"/>
        </w:rPr>
        <w:t>八一社区围绕辖区内基础设施建设、公共秩序整治等方面，开展大排查大整治行动，着力补齐基础设施短板，对辖区内有改造需求的老旧小区进行整合，以社区、片区改造形式同步推进，</w:t>
      </w:r>
      <w:r>
        <w:rPr>
          <w:rFonts w:hint="eastAsia" w:eastAsia="仿宋_GB2312" w:cs="仿宋_GB2312"/>
          <w:color w:val="auto"/>
          <w:w w:val="105"/>
          <w:sz w:val="32"/>
          <w:szCs w:val="24"/>
        </w:rPr>
        <w:t>盘活分散的社区空间资源。</w:t>
      </w:r>
      <w:r>
        <w:rPr>
          <w:rFonts w:hint="eastAsia" w:eastAsia="仿宋_GB2312" w:cs="仿宋_GB2312"/>
          <w:color w:val="auto"/>
          <w:w w:val="105"/>
          <w:sz w:val="32"/>
          <w:szCs w:val="24"/>
          <w:lang w:val="en-US" w:eastAsia="zh-CN"/>
        </w:rPr>
        <w:t>重点对老旧小区内的公共基础设施、环境卫生等突出问题整治进行部署</w:t>
      </w:r>
      <w:r>
        <w:rPr>
          <w:rFonts w:hint="eastAsia" w:eastAsia="仿宋_GB2312" w:cs="仿宋_GB2312"/>
          <w:color w:val="auto"/>
          <w:w w:val="105"/>
          <w:sz w:val="32"/>
          <w:szCs w:val="24"/>
        </w:rPr>
        <w:t>，鼓励有条件的物业服务企业向养老、托育、家政、快递等延伸</w:t>
      </w:r>
      <w:r>
        <w:rPr>
          <w:rFonts w:hint="eastAsia" w:eastAsia="仿宋_GB2312" w:cs="仿宋_GB2312"/>
          <w:color w:val="auto"/>
          <w:w w:val="105"/>
          <w:sz w:val="32"/>
          <w:szCs w:val="24"/>
          <w:lang w:eastAsia="zh-CN"/>
        </w:rPr>
        <w:t>，</w:t>
      </w:r>
      <w:r>
        <w:rPr>
          <w:rFonts w:hint="eastAsia" w:eastAsia="仿宋_GB2312" w:cs="仿宋_GB2312"/>
          <w:color w:val="auto"/>
          <w:w w:val="105"/>
          <w:sz w:val="32"/>
          <w:szCs w:val="24"/>
        </w:rPr>
        <w:t>完善“一站式便民服务功能</w:t>
      </w:r>
      <w:r>
        <w:rPr>
          <w:rFonts w:hint="eastAsia" w:eastAsia="仿宋_GB2312" w:cs="仿宋_GB2312"/>
          <w:color w:val="auto"/>
          <w:w w:val="105"/>
          <w:sz w:val="32"/>
          <w:szCs w:val="24"/>
          <w:lang w:eastAsia="zh-CN"/>
        </w:rPr>
        <w:t>”，</w:t>
      </w:r>
      <w:r>
        <w:rPr>
          <w:rFonts w:hint="eastAsia" w:eastAsia="仿宋_GB2312" w:cs="仿宋_GB2312"/>
          <w:color w:val="auto"/>
          <w:w w:val="105"/>
          <w:sz w:val="32"/>
          <w:szCs w:val="24"/>
          <w:lang w:val="en-US" w:eastAsia="zh-CN"/>
        </w:rPr>
        <w:t>针对辖区老年人较多的现状，社区通过问需于民，持续完善生活圈服务功能，为居民提供更有温度的服务，补齐生活圈服务短板，让辖区内的老年人精神文化生活更加丰富</w:t>
      </w:r>
      <w:r>
        <w:rPr>
          <w:rFonts w:hint="eastAsia" w:eastAsia="仿宋_GB2312" w:cs="仿宋_GB2312"/>
          <w:color w:val="auto"/>
          <w:w w:val="105"/>
          <w:sz w:val="32"/>
          <w:szCs w:val="24"/>
        </w:rPr>
        <w:t>。</w:t>
      </w:r>
    </w:p>
    <w:p>
      <w:pPr>
        <w:pStyle w:val="5"/>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00" w:lineRule="exact"/>
        <w:ind w:left="0" w:right="0" w:firstLine="640" w:firstLineChars="200"/>
        <w:jc w:val="both"/>
        <w:textAlignment w:val="auto"/>
        <w:outlineLvl w:val="9"/>
        <w:rPr>
          <w:rFonts w:hint="eastAsia" w:eastAsia="仿宋_GB2312" w:cs="仿宋_GB2312"/>
          <w:color w:val="auto"/>
          <w:w w:val="105"/>
          <w:sz w:val="32"/>
          <w:szCs w:val="24"/>
        </w:rPr>
      </w:pPr>
      <w:r>
        <w:rPr>
          <w:rFonts w:hint="eastAsia" w:ascii="楷体_GB2312" w:hAnsi="楷体_GB2312" w:eastAsia="楷体_GB2312" w:cs="楷体_GB2312"/>
          <w:color w:val="auto"/>
          <w:kern w:val="0"/>
          <w:sz w:val="32"/>
          <w:szCs w:val="24"/>
          <w:shd w:val="clear" w:color="auto" w:fill="FFFFFF"/>
          <w:lang w:val="en-US" w:eastAsia="zh-CN" w:bidi="ar"/>
        </w:rPr>
        <w:t>（二）壮大市场主体，激发社区新活力。</w:t>
      </w:r>
      <w:r>
        <w:rPr>
          <w:rFonts w:hint="eastAsia" w:eastAsia="仿宋_GB2312" w:cs="仿宋_GB2312"/>
          <w:color w:val="auto"/>
          <w:w w:val="105"/>
          <w:sz w:val="32"/>
          <w:szCs w:val="24"/>
          <w:lang w:val="en-US" w:eastAsia="zh-CN"/>
        </w:rPr>
        <w:t>八一社区将以打</w:t>
      </w:r>
      <w:r>
        <w:rPr>
          <w:rFonts w:hint="eastAsia" w:ascii="仿宋_GB2312" w:hAnsi="仿宋_GB2312" w:eastAsia="仿宋_GB2312" w:cs="仿宋_GB2312"/>
          <w:color w:val="auto"/>
          <w:w w:val="105"/>
          <w:sz w:val="32"/>
          <w:szCs w:val="24"/>
          <w:lang w:val="en-US" w:eastAsia="zh-CN"/>
        </w:rPr>
        <w:t>造“15分钟生活圈”为主线，激发市场活力、凝聚社会力量，增强社区自治共治、共建共享能力，提高精细化管理水平和精准服务能力，鼓励振华超市、百大三联等大企业开放供应链、物流渠道，为小商店、杂货店等个体工商户提供集采集配、统仓统配等一站式服务</w:t>
      </w:r>
      <w:r>
        <w:rPr>
          <w:rFonts w:hint="eastAsia" w:ascii="仿宋_GB2312" w:hAnsi="仿宋_GB2312" w:eastAsia="仿宋_GB2312" w:cs="仿宋_GB2312"/>
          <w:color w:val="auto"/>
          <w:w w:val="105"/>
          <w:sz w:val="32"/>
          <w:szCs w:val="24"/>
        </w:rPr>
        <mc:AlternateContent>
          <mc:Choice Requires="wps">
            <w:drawing>
              <wp:anchor distT="0" distB="0" distL="114300" distR="114300" simplePos="0" relativeHeight="251664384" behindDoc="0" locked="0" layoutInCell="1" allowOverlap="1">
                <wp:simplePos x="0" y="0"/>
                <wp:positionH relativeFrom="page">
                  <wp:posOffset>7486015</wp:posOffset>
                </wp:positionH>
                <wp:positionV relativeFrom="paragraph">
                  <wp:posOffset>2761615</wp:posOffset>
                </wp:positionV>
                <wp:extent cx="76200" cy="914400"/>
                <wp:effectExtent l="0" t="0" r="0" b="0"/>
                <wp:wrapNone/>
                <wp:docPr id="5" name="矩形 5"/>
                <wp:cNvGraphicFramePr/>
                <a:graphic xmlns:a="http://schemas.openxmlformats.org/drawingml/2006/main">
                  <a:graphicData uri="http://schemas.microsoft.com/office/word/2010/wordprocessingShape">
                    <wps:wsp>
                      <wps:cNvSpPr/>
                      <wps:spPr>
                        <a:xfrm>
                          <a:off x="0" y="0"/>
                          <a:ext cx="76200" cy="914400"/>
                        </a:xfrm>
                        <a:prstGeom prst="rect">
                          <a:avLst/>
                        </a:prstGeom>
                        <a:noFill/>
                        <a:ln>
                          <a:noFill/>
                        </a:ln>
                        <a:effectLst/>
                      </wps:spPr>
                      <wps:txbx>
                        <w:txbxContent>
                          <w:p>
                            <w:pPr>
                              <w:widowControl/>
                              <w:autoSpaceDE/>
                              <w:autoSpaceDN/>
                              <w:adjustRightInd/>
                              <w:spacing w:beforeLines="0" w:afterLines="0" w:line="1440" w:lineRule="atLeast"/>
                              <w:rPr>
                                <w:rFonts w:hint="default"/>
                                <w:sz w:val="24"/>
                                <w:szCs w:val="24"/>
                              </w:rPr>
                            </w:pPr>
                            <w:r>
                              <w:rPr>
                                <w:rFonts w:hint="default"/>
                                <w:sz w:val="24"/>
                                <w:szCs w:val="24"/>
                              </w:rPr>
                              <w:drawing>
                                <wp:inline distT="0" distB="0" distL="114300" distR="114300">
                                  <wp:extent cx="73025" cy="914400"/>
                                  <wp:effectExtent l="0" t="0" r="317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73025" cy="914400"/>
                                          </a:xfrm>
                                          <a:prstGeom prst="rect">
                                            <a:avLst/>
                                          </a:prstGeom>
                                          <a:noFill/>
                                          <a:ln>
                                            <a:noFill/>
                                          </a:ln>
                                        </pic:spPr>
                                      </pic:pic>
                                    </a:graphicData>
                                  </a:graphic>
                                </wp:inline>
                              </w:drawing>
                            </w:r>
                          </w:p>
                          <w:p>
                            <w:pPr>
                              <w:spacing w:beforeLines="0" w:afterLines="0"/>
                              <w:rPr>
                                <w:rFonts w:hint="default"/>
                                <w:sz w:val="24"/>
                                <w:szCs w:val="24"/>
                              </w:rPr>
                            </w:pPr>
                          </w:p>
                        </w:txbxContent>
                      </wps:txbx>
                      <wps:bodyPr lIns="0" tIns="0" rIns="0" bIns="0" upright="1"/>
                    </wps:wsp>
                  </a:graphicData>
                </a:graphic>
              </wp:anchor>
            </w:drawing>
          </mc:Choice>
          <mc:Fallback>
            <w:pict>
              <v:rect id="_x0000_s1026" o:spid="_x0000_s1026" o:spt="1" style="position:absolute;left:0pt;margin-left:589.45pt;margin-top:217.45pt;height:72pt;width:6pt;mso-position-horizontal-relative:page;z-index:251664384;mso-width-relative:page;mso-height-relative:page;" filled="f" stroked="f" coordsize="21600,21600" o:gfxdata="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">
                <v:fill on="f" focussize="0,0"/>
                <v:stroke on="f"/>
                <v:imagedata o:title=""/>
                <o:lock v:ext="edit" aspectratio="f"/>
                <v:textbox inset="0mm,0mm,0mm,0mm">
                  <w:txbxContent>
                    <w:p>
                      <w:pPr>
                        <w:widowControl/>
                        <w:autoSpaceDE/>
                        <w:autoSpaceDN/>
                        <w:adjustRightInd/>
                        <w:spacing w:beforeLines="0" w:afterLines="0" w:line="1440" w:lineRule="atLeast"/>
                        <w:rPr>
                          <w:rFonts w:hint="default"/>
                          <w:sz w:val="24"/>
                          <w:szCs w:val="24"/>
                        </w:rPr>
                      </w:pPr>
                      <w:r>
                        <w:rPr>
                          <w:rFonts w:hint="default"/>
                          <w:sz w:val="24"/>
                          <w:szCs w:val="24"/>
                        </w:rPr>
                        <w:drawing>
                          <wp:inline distT="0" distB="0" distL="114300" distR="114300">
                            <wp:extent cx="73025" cy="914400"/>
                            <wp:effectExtent l="0" t="0" r="317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73025" cy="914400"/>
                                    </a:xfrm>
                                    <a:prstGeom prst="rect">
                                      <a:avLst/>
                                    </a:prstGeom>
                                    <a:noFill/>
                                    <a:ln>
                                      <a:noFill/>
                                    </a:ln>
                                  </pic:spPr>
                                </pic:pic>
                              </a:graphicData>
                            </a:graphic>
                          </wp:inline>
                        </w:drawing>
                      </w:r>
                    </w:p>
                    <w:p>
                      <w:pPr>
                        <w:spacing w:beforeLines="0" w:afterLines="0"/>
                        <w:rPr>
                          <w:rFonts w:hint="default"/>
                          <w:sz w:val="24"/>
                          <w:szCs w:val="24"/>
                        </w:rPr>
                      </w:pPr>
                    </w:p>
                  </w:txbxContent>
                </v:textbox>
              </v:rect>
            </w:pict>
          </mc:Fallback>
        </mc:AlternateContent>
      </w:r>
      <w:r>
        <w:rPr>
          <w:rFonts w:hint="eastAsia" w:ascii="仿宋_GB2312" w:hAnsi="仿宋_GB2312" w:eastAsia="仿宋_GB2312" w:cs="仿宋_GB2312"/>
          <w:color w:val="auto"/>
          <w:w w:val="105"/>
          <w:sz w:val="32"/>
          <w:szCs w:val="24"/>
          <w:lang w:val="en-US" w:eastAsia="zh-CN"/>
        </w:rPr>
        <w:t>，并持续</w:t>
      </w:r>
      <w:r>
        <w:rPr>
          <w:rFonts w:hint="eastAsia" w:ascii="仿宋_GB2312" w:hAnsi="仿宋_GB2312" w:eastAsia="仿宋_GB2312" w:cs="仿宋_GB2312"/>
          <w:color w:val="auto"/>
          <w:w w:val="105"/>
          <w:sz w:val="32"/>
          <w:szCs w:val="24"/>
        </w:rPr>
        <w:t>推动社区商业集聚发展转型升级。</w:t>
      </w:r>
      <w:r>
        <w:rPr>
          <w:rFonts w:hint="eastAsia" w:ascii="仿宋_GB2312" w:hAnsi="仿宋_GB2312" w:eastAsia="仿宋_GB2312" w:cs="仿宋_GB2312"/>
          <w:color w:val="auto"/>
          <w:w w:val="105"/>
          <w:sz w:val="32"/>
          <w:szCs w:val="24"/>
          <w:lang w:val="en-US" w:eastAsia="zh-CN"/>
        </w:rPr>
        <w:t>完善适老化服务，鼓励市场主体设立专门为老年人服务的</w:t>
      </w:r>
      <w:r>
        <w:rPr>
          <w:rFonts w:hint="eastAsia" w:ascii="仿宋_GB2312" w:hAnsi="仿宋_GB2312" w:eastAsia="仿宋_GB2312" w:cs="仿宋_GB2312"/>
          <w:color w:val="auto"/>
          <w:w w:val="105"/>
          <w:sz w:val="32"/>
          <w:szCs w:val="24"/>
        </w:rPr>
        <w:t>连锁便利店</w:t>
      </w:r>
      <w:r>
        <w:rPr>
          <w:rFonts w:hint="eastAsia" w:ascii="仿宋_GB2312" w:hAnsi="仿宋_GB2312" w:eastAsia="仿宋_GB2312" w:cs="仿宋_GB2312"/>
          <w:color w:val="auto"/>
          <w:w w:val="105"/>
          <w:sz w:val="32"/>
          <w:szCs w:val="24"/>
          <w:lang w:eastAsia="zh-CN"/>
        </w:rPr>
        <w:t>、</w:t>
      </w:r>
      <w:r>
        <w:rPr>
          <w:rFonts w:hint="eastAsia" w:ascii="仿宋_GB2312" w:hAnsi="仿宋_GB2312" w:eastAsia="仿宋_GB2312" w:cs="仿宋_GB2312"/>
          <w:color w:val="auto"/>
          <w:w w:val="105"/>
          <w:sz w:val="32"/>
          <w:szCs w:val="24"/>
          <w:lang w:val="en-US" w:eastAsia="zh-CN"/>
        </w:rPr>
        <w:t>药店等</w:t>
      </w:r>
      <w:r>
        <w:rPr>
          <w:rFonts w:hint="eastAsia" w:ascii="仿宋_GB2312" w:hAnsi="仿宋_GB2312" w:eastAsia="仿宋_GB2312" w:cs="仿宋_GB2312"/>
          <w:color w:val="auto"/>
          <w:w w:val="105"/>
          <w:sz w:val="32"/>
          <w:szCs w:val="24"/>
        </w:rPr>
        <w:t>进</w:t>
      </w:r>
      <w:r>
        <w:rPr>
          <w:rFonts w:hint="eastAsia" w:ascii="仿宋_GB2312" w:hAnsi="仿宋_GB2312" w:eastAsia="仿宋_GB2312" w:cs="仿宋_GB2312"/>
          <w:color w:val="auto"/>
          <w:w w:val="105"/>
          <w:sz w:val="32"/>
          <w:szCs w:val="24"/>
          <w:lang w:val="en-US" w:eastAsia="zh-CN"/>
        </w:rPr>
        <w:t>小</w:t>
      </w:r>
      <w:r>
        <w:rPr>
          <w:rFonts w:hint="eastAsia" w:ascii="仿宋_GB2312" w:hAnsi="仿宋_GB2312" w:eastAsia="仿宋_GB2312" w:cs="仿宋_GB2312"/>
          <w:color w:val="auto"/>
          <w:w w:val="105"/>
          <w:sz w:val="32"/>
          <w:szCs w:val="24"/>
        </w:rPr>
        <w:t>区，</w:t>
      </w:r>
      <w:r>
        <w:rPr>
          <w:rFonts w:hint="eastAsia" w:ascii="仿宋_GB2312" w:hAnsi="仿宋_GB2312" w:eastAsia="仿宋_GB2312" w:cs="仿宋_GB2312"/>
          <w:color w:val="auto"/>
          <w:w w:val="105"/>
          <w:sz w:val="32"/>
          <w:szCs w:val="24"/>
          <w:lang w:val="en-US" w:eastAsia="zh-CN"/>
        </w:rPr>
        <w:t>保留现金支付等传统支付方式，为老年人购物提供便利</w:t>
      </w:r>
      <w:r>
        <w:rPr>
          <w:rFonts w:hint="eastAsia" w:ascii="仿宋_GB2312" w:hAnsi="仿宋_GB2312" w:eastAsia="仿宋_GB2312" w:cs="仿宋_GB2312"/>
          <w:color w:val="auto"/>
          <w:w w:val="105"/>
          <w:sz w:val="32"/>
          <w:szCs w:val="24"/>
        </w:rPr>
        <w:t>。</w:t>
      </w:r>
    </w:p>
    <w:p>
      <w:pPr>
        <w:pStyle w:val="5"/>
        <w:keepNext w:val="0"/>
        <w:keepLines w:val="0"/>
        <w:pageBreakBefore w:val="0"/>
        <w:widowControl w:val="0"/>
        <w:kinsoku/>
        <w:wordWrap/>
        <w:overflowPunct w:val="0"/>
        <w:topLinePunct w:val="0"/>
        <w:autoSpaceDE/>
        <w:autoSpaceDN/>
        <w:bidi w:val="0"/>
        <w:adjustRightInd w:val="0"/>
        <w:snapToGrid w:val="0"/>
        <w:spacing w:beforeLines="0" w:afterLines="0" w:line="600" w:lineRule="exact"/>
        <w:ind w:left="0" w:right="0" w:firstLine="640" w:firstLineChars="200"/>
        <w:jc w:val="both"/>
        <w:textAlignment w:val="auto"/>
        <w:outlineLvl w:val="9"/>
        <w:rPr>
          <w:rFonts w:hint="eastAsia" w:eastAsia="仿宋_GB2312" w:cs="仿宋_GB2312"/>
          <w:color w:val="auto"/>
          <w:w w:val="105"/>
          <w:sz w:val="32"/>
          <w:szCs w:val="24"/>
          <w:lang w:val="en-US" w:eastAsia="zh-CN"/>
        </w:rPr>
      </w:pPr>
      <w:r>
        <w:rPr>
          <w:rFonts w:hint="eastAsia" w:ascii="楷体_GB2312" w:hAnsi="楷体_GB2312" w:eastAsia="楷体_GB2312" w:cs="楷体_GB2312"/>
          <w:color w:val="auto"/>
          <w:kern w:val="0"/>
          <w:sz w:val="32"/>
          <w:szCs w:val="24"/>
          <w:shd w:val="clear" w:color="auto" w:fill="FFFFFF"/>
          <w:lang w:val="en-US" w:eastAsia="zh-CN" w:bidi="ar"/>
        </w:rPr>
        <w:t>（三）创新工作机制，提升服务能力。</w:t>
      </w:r>
      <w:r>
        <w:rPr>
          <w:rFonts w:hint="eastAsia" w:eastAsia="仿宋_GB2312" w:cs="仿宋_GB2312"/>
          <w:color w:val="auto"/>
          <w:w w:val="105"/>
          <w:sz w:val="32"/>
          <w:szCs w:val="24"/>
          <w:lang w:val="en-US" w:eastAsia="zh-CN"/>
        </w:rPr>
        <w:t>八一社区积极</w:t>
      </w:r>
      <w:r>
        <w:rPr>
          <w:rFonts w:hint="eastAsia" w:eastAsia="仿宋_GB2312" w:cs="仿宋_GB2312"/>
          <w:color w:val="auto"/>
          <w:w w:val="105"/>
          <w:sz w:val="32"/>
          <w:szCs w:val="24"/>
        </w:rPr>
        <w:t>整合辖区内各类居民生活资源，以需求为导向，以互联网线上为平台，</w:t>
      </w:r>
      <w:r>
        <w:rPr>
          <w:rFonts w:hint="eastAsia" w:eastAsia="仿宋_GB2312" w:cs="仿宋_GB2312"/>
          <w:color w:val="auto"/>
          <w:w w:val="105"/>
          <w:sz w:val="32"/>
          <w:szCs w:val="24"/>
          <w:lang w:val="en-US" w:eastAsia="zh-CN"/>
        </w:rPr>
        <w:t>创新工作机制，</w:t>
      </w:r>
      <w:r>
        <w:rPr>
          <w:rFonts w:hint="eastAsia" w:eastAsia="仿宋_GB2312" w:cs="仿宋_GB2312"/>
          <w:color w:val="auto"/>
          <w:w w:val="105"/>
          <w:sz w:val="32"/>
          <w:szCs w:val="24"/>
        </w:rPr>
        <w:t>提升服务能力，拓宽服务领域，打造“便民服务圈”</w:t>
      </w:r>
      <w:r>
        <w:rPr>
          <w:rFonts w:hint="eastAsia" w:eastAsia="仿宋_GB2312" w:cs="仿宋_GB2312"/>
          <w:color w:val="auto"/>
          <w:w w:val="105"/>
          <w:sz w:val="32"/>
          <w:szCs w:val="24"/>
          <w:lang w:eastAsia="zh-CN"/>
        </w:rPr>
        <w:t>。</w:t>
      </w:r>
      <w:r>
        <w:rPr>
          <w:rFonts w:hint="eastAsia" w:eastAsia="仿宋_GB2312" w:cs="仿宋_GB2312"/>
          <w:color w:val="auto"/>
          <w:w w:val="105"/>
          <w:sz w:val="32"/>
          <w:szCs w:val="24"/>
        </w:rPr>
        <w:t>聚焦“一老一小”，精准开展“为老、为小、为困难群体、为需要心理疏导和情感慰藉群体、为社会公共需要”</w:t>
      </w:r>
      <w:r>
        <w:rPr>
          <w:rFonts w:hint="eastAsia" w:eastAsia="仿宋_GB2312" w:cs="仿宋_GB2312"/>
          <w:color w:val="auto"/>
          <w:w w:val="105"/>
          <w:sz w:val="32"/>
          <w:szCs w:val="24"/>
          <w:lang w:eastAsia="zh-CN"/>
        </w:rPr>
        <w:t>服务，</w:t>
      </w:r>
      <w:r>
        <w:rPr>
          <w:rFonts w:hint="eastAsia" w:eastAsia="仿宋_GB2312" w:cs="仿宋_GB2312"/>
          <w:color w:val="auto"/>
          <w:w w:val="105"/>
          <w:sz w:val="32"/>
          <w:szCs w:val="24"/>
          <w:lang w:val="en-US" w:eastAsia="zh-CN"/>
        </w:rPr>
        <w:t>重点</w:t>
      </w:r>
      <w:r>
        <w:rPr>
          <w:rFonts w:hint="eastAsia" w:eastAsia="仿宋_GB2312" w:cs="仿宋_GB2312"/>
          <w:color w:val="auto"/>
          <w:w w:val="105"/>
          <w:sz w:val="32"/>
          <w:szCs w:val="24"/>
        </w:rPr>
        <w:t>关注</w:t>
      </w:r>
      <w:r>
        <w:rPr>
          <w:rFonts w:hint="eastAsia" w:eastAsia="仿宋_GB2312" w:cs="仿宋_GB2312"/>
          <w:color w:val="auto"/>
          <w:w w:val="105"/>
          <w:sz w:val="32"/>
          <w:szCs w:val="24"/>
          <w:lang w:val="en-US" w:eastAsia="zh-CN"/>
        </w:rPr>
        <w:t>辖区</w:t>
      </w:r>
      <w:r>
        <w:rPr>
          <w:rFonts w:hint="eastAsia" w:eastAsia="仿宋_GB2312" w:cs="仿宋_GB2312"/>
          <w:color w:val="auto"/>
          <w:w w:val="105"/>
          <w:sz w:val="32"/>
          <w:szCs w:val="24"/>
        </w:rPr>
        <w:t>独居老人、儿童等群体的身体健康</w:t>
      </w:r>
      <w:r>
        <w:rPr>
          <w:rFonts w:hint="eastAsia" w:eastAsia="仿宋_GB2312" w:cs="仿宋_GB2312"/>
          <w:color w:val="auto"/>
          <w:w w:val="105"/>
          <w:sz w:val="32"/>
          <w:szCs w:val="24"/>
          <w:lang w:val="en-US" w:eastAsia="zh-CN"/>
        </w:rPr>
        <w:t>及情感</w:t>
      </w:r>
      <w:r>
        <w:rPr>
          <w:rFonts w:hint="eastAsia" w:eastAsia="仿宋_GB2312" w:cs="仿宋_GB2312"/>
          <w:color w:val="auto"/>
          <w:w w:val="105"/>
          <w:sz w:val="32"/>
          <w:szCs w:val="24"/>
        </w:rPr>
        <w:t>状况，</w:t>
      </w:r>
      <w:r>
        <w:rPr>
          <w:rFonts w:hint="eastAsia" w:eastAsia="仿宋_GB2312" w:cs="仿宋_GB2312"/>
          <w:color w:val="auto"/>
          <w:w w:val="105"/>
          <w:sz w:val="32"/>
          <w:szCs w:val="24"/>
          <w:lang w:val="en-US" w:eastAsia="zh-CN"/>
        </w:rPr>
        <w:t>深入小区内</w:t>
      </w:r>
      <w:r>
        <w:rPr>
          <w:rFonts w:hint="eastAsia" w:eastAsia="仿宋_GB2312" w:cs="仿宋_GB2312"/>
          <w:color w:val="auto"/>
          <w:w w:val="105"/>
          <w:sz w:val="32"/>
          <w:szCs w:val="24"/>
        </w:rPr>
        <w:t>积极开展思想引领、文化传承、健身体育、科普服务、应急避险等</w:t>
      </w:r>
      <w:r>
        <w:rPr>
          <w:rFonts w:hint="eastAsia" w:eastAsia="仿宋_GB2312" w:cs="仿宋_GB2312"/>
          <w:color w:val="auto"/>
          <w:w w:val="105"/>
          <w:sz w:val="32"/>
          <w:szCs w:val="24"/>
          <w:lang w:val="en-US" w:eastAsia="zh-CN"/>
        </w:rPr>
        <w:t>丰富多彩的</w:t>
      </w:r>
      <w:r>
        <w:rPr>
          <w:rFonts w:hint="eastAsia" w:eastAsia="仿宋_GB2312" w:cs="仿宋_GB2312"/>
          <w:color w:val="auto"/>
          <w:w w:val="105"/>
          <w:sz w:val="32"/>
          <w:szCs w:val="24"/>
        </w:rPr>
        <w:t>志愿服务活动，梳理</w:t>
      </w:r>
      <w:r>
        <w:rPr>
          <w:rFonts w:hint="eastAsia" w:eastAsia="仿宋_GB2312" w:cs="仿宋_GB2312"/>
          <w:color w:val="auto"/>
          <w:w w:val="105"/>
          <w:sz w:val="32"/>
          <w:szCs w:val="24"/>
          <w:lang w:val="en-US" w:eastAsia="zh-CN"/>
        </w:rPr>
        <w:t>居民</w:t>
      </w:r>
      <w:r>
        <w:rPr>
          <w:rFonts w:hint="eastAsia" w:eastAsia="仿宋_GB2312" w:cs="仿宋_GB2312"/>
          <w:color w:val="auto"/>
          <w:w w:val="105"/>
          <w:sz w:val="32"/>
          <w:szCs w:val="24"/>
        </w:rPr>
        <w:t>各类生活需求，优先发展居民对生活品质提升最迫切需要的老年康护、特色餐饮、运动健身、新式书店、幼儿托管等业态，增强便民生活圈服务功能。</w:t>
      </w:r>
      <w:r>
        <w:rPr>
          <w:rFonts w:hint="eastAsia" w:eastAsia="仿宋_GB2312" w:cs="仿宋_GB2312"/>
          <w:color w:val="auto"/>
          <w:w w:val="105"/>
          <w:sz w:val="32"/>
          <w:szCs w:val="24"/>
          <w:lang w:val="en-US" w:eastAsia="zh-CN"/>
        </w:rPr>
        <w:t>鼓励大型传统商超（振华五星百货、百大三联）积极推动线上线下融合，提供即时配送服务，更好服务社区居民。</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6.开发区御润财富城一刻钟便民生活圈建设子方案</w:t>
      </w:r>
    </w:p>
    <w:p>
      <w:pPr>
        <w:keepNext w:val="0"/>
        <w:keepLines w:val="0"/>
        <w:pageBreakBefore w:val="0"/>
        <w:widowControl w:val="0"/>
        <w:wordWrap/>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w w:val="105"/>
          <w:sz w:val="32"/>
          <w:szCs w:val="32"/>
          <w:lang w:val="en-US" w:eastAsia="zh-CN"/>
        </w:rPr>
      </w:pPr>
      <w:r>
        <w:rPr>
          <w:rFonts w:hint="eastAsia" w:ascii="仿宋_GB2312" w:hAnsi="仿宋_GB2312" w:eastAsia="仿宋_GB2312" w:cs="仿宋_GB2312"/>
          <w:b w:val="0"/>
          <w:bCs w:val="0"/>
          <w:color w:val="auto"/>
          <w:sz w:val="32"/>
          <w:szCs w:val="32"/>
          <w:lang w:val="en-US" w:eastAsia="zh-CN"/>
        </w:rPr>
        <w:t>御润财富城便民生活圈</w:t>
      </w:r>
      <w:r>
        <w:rPr>
          <w:rFonts w:hint="eastAsia" w:ascii="仿宋_GB2312" w:hAnsi="仿宋_GB2312" w:eastAsia="仿宋_GB2312" w:cs="仿宋_GB2312"/>
          <w:color w:val="auto"/>
          <w:sz w:val="32"/>
          <w:szCs w:val="32"/>
          <w:highlight w:val="none"/>
          <w:lang w:eastAsia="zh-CN"/>
        </w:rPr>
        <w:t>北至东昌路、南至黄河路、西至光岳路、东至中华路</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居住人口大约</w:t>
      </w:r>
      <w:r>
        <w:rPr>
          <w:rFonts w:hint="eastAsia" w:ascii="仿宋_GB2312" w:hAnsi="仿宋_GB2312" w:eastAsia="仿宋_GB2312" w:cs="仿宋_GB2312"/>
          <w:b w:val="0"/>
          <w:bCs w:val="0"/>
          <w:color w:val="auto"/>
          <w:sz w:val="32"/>
          <w:szCs w:val="32"/>
          <w:highlight w:val="none"/>
          <w:lang w:val="en-US" w:eastAsia="zh-CN"/>
        </w:rPr>
        <w:t>3万</w:t>
      </w:r>
      <w:r>
        <w:rPr>
          <w:rFonts w:hint="eastAsia" w:ascii="仿宋_GB2312" w:hAnsi="仿宋_GB2312" w:eastAsia="仿宋_GB2312" w:cs="仿宋_GB2312"/>
          <w:color w:val="auto"/>
          <w:sz w:val="32"/>
          <w:szCs w:val="32"/>
          <w:highlight w:val="none"/>
          <w:lang w:eastAsia="zh-CN"/>
        </w:rPr>
        <w:t>余</w:t>
      </w:r>
      <w:r>
        <w:rPr>
          <w:rFonts w:hint="eastAsia" w:ascii="仿宋_GB2312" w:hAnsi="仿宋_GB2312" w:eastAsia="仿宋_GB2312" w:cs="仿宋_GB2312"/>
          <w:b w:val="0"/>
          <w:bCs w:val="0"/>
          <w:color w:val="auto"/>
          <w:sz w:val="32"/>
          <w:szCs w:val="32"/>
          <w:highlight w:val="none"/>
          <w:lang w:val="en-US" w:eastAsia="zh-CN"/>
        </w:rPr>
        <w:t>人，占地面积大约3平方公里。生活圈内基本保障类业态比较齐全，主要包括便利店、综合超市、农贸市场、生鲜超市（菜店）、早餐店、洗染店、美容美发店、照相文印店、家政服务点、维修点、药店、社区诊所、邮政快递综合服务点（快递公共取送点）、</w:t>
      </w:r>
      <w:r>
        <w:rPr>
          <w:rFonts w:hint="eastAsia" w:ascii="仿宋_GB2312" w:hAnsi="仿宋_GB2312" w:eastAsia="仿宋_GB2312" w:cs="仿宋_GB2312"/>
          <w:color w:val="auto"/>
          <w:sz w:val="32"/>
          <w:szCs w:val="32"/>
          <w:highlight w:val="none"/>
          <w:lang w:eastAsia="zh-CN"/>
        </w:rPr>
        <w:t>聊城市脑科医院、</w:t>
      </w:r>
      <w:r>
        <w:rPr>
          <w:rFonts w:hint="eastAsia" w:ascii="仿宋_GB2312" w:hAnsi="仿宋_GB2312" w:eastAsia="仿宋_GB2312" w:cs="仿宋_GB2312"/>
          <w:b w:val="0"/>
          <w:bCs w:val="0"/>
          <w:color w:val="auto"/>
          <w:sz w:val="32"/>
          <w:szCs w:val="32"/>
          <w:highlight w:val="none"/>
          <w:lang w:val="en-US" w:eastAsia="zh-CN"/>
        </w:rPr>
        <w:t>社区养老服务机构、特色餐饮店、新式书店、运动健身房、鲜花礼品店、茶艺咖啡馆、宠物服务站、再生资源回收点等</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步行15分钟行程内有较大的商业综合体振华购物中心，</w:t>
      </w:r>
      <w:r>
        <w:rPr>
          <w:rFonts w:hint="eastAsia" w:ascii="仿宋_GB2312" w:hAnsi="仿宋_GB2312" w:eastAsia="仿宋_GB2312" w:cs="仿宋_GB2312"/>
          <w:color w:val="auto"/>
          <w:sz w:val="32"/>
          <w:szCs w:val="32"/>
        </w:rPr>
        <w:t>位于聊城开发区星光城市广场CBD商务中心，</w:t>
      </w:r>
      <w:r>
        <w:rPr>
          <w:rFonts w:hint="eastAsia" w:ascii="仿宋_GB2312" w:hAnsi="仿宋_GB2312" w:eastAsia="仿宋_GB2312" w:cs="仿宋_GB2312"/>
          <w:color w:val="auto"/>
          <w:sz w:val="32"/>
          <w:szCs w:val="32"/>
          <w:shd w:val="clear" w:color="auto" w:fill="FFFFFF"/>
        </w:rPr>
        <w:t>总建筑面积5.1万平方米</w:t>
      </w:r>
      <w:r>
        <w:rPr>
          <w:rFonts w:hint="eastAsia" w:ascii="仿宋_GB2312" w:hAnsi="仿宋_GB2312" w:eastAsia="仿宋_GB2312" w:cs="仿宋_GB2312"/>
          <w:color w:val="auto"/>
          <w:sz w:val="32"/>
          <w:szCs w:val="32"/>
        </w:rPr>
        <w:t>，是烟台振华集团在聊城开设的第二家大型综合购物中心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地上四层地下一层，</w:t>
      </w:r>
      <w:r>
        <w:rPr>
          <w:rFonts w:hint="eastAsia" w:ascii="仿宋_GB2312" w:hAnsi="仿宋_GB2312" w:eastAsia="仿宋_GB2312" w:cs="仿宋_GB2312"/>
          <w:color w:val="auto"/>
          <w:sz w:val="32"/>
          <w:szCs w:val="32"/>
          <w:shd w:val="clear" w:color="auto" w:fill="FFFFFF"/>
        </w:rPr>
        <w:t>是开发区集高档购物、时尚餐饮、文化休闲、大众娱乐等多功能于一体的大型时尚购物中心，带动周边房地产企业、小区商铺市场繁荣，满足开发区居民日常生活购物需求，现已发展成为开发区商业中心地段。目前，</w:t>
      </w:r>
      <w:r>
        <w:rPr>
          <w:rFonts w:hint="eastAsia" w:ascii="仿宋_GB2312" w:hAnsi="仿宋_GB2312" w:eastAsia="仿宋_GB2312" w:cs="仿宋_GB2312"/>
          <w:color w:val="auto"/>
          <w:sz w:val="32"/>
          <w:szCs w:val="32"/>
          <w:shd w:val="clear" w:color="auto" w:fill="FFFFFF"/>
          <w:lang w:eastAsia="zh-CN"/>
        </w:rPr>
        <w:t>有</w:t>
      </w:r>
      <w:r>
        <w:rPr>
          <w:rFonts w:hint="eastAsia" w:ascii="仿宋_GB2312" w:hAnsi="仿宋_GB2312" w:eastAsia="仿宋_GB2312" w:cs="仿宋_GB2312"/>
          <w:color w:val="auto"/>
          <w:sz w:val="32"/>
          <w:szCs w:val="32"/>
        </w:rPr>
        <w:t>百货商场、配套物业以及超市三个业态，</w:t>
      </w:r>
      <w:r>
        <w:rPr>
          <w:rFonts w:hint="eastAsia" w:ascii="仿宋_GB2312" w:hAnsi="仿宋_GB2312" w:eastAsia="仿宋_GB2312" w:cs="仿宋_GB2312"/>
          <w:color w:val="auto"/>
          <w:sz w:val="32"/>
          <w:szCs w:val="32"/>
          <w:lang w:eastAsia="zh-CN"/>
        </w:rPr>
        <w:t>商场</w:t>
      </w:r>
      <w:r>
        <w:rPr>
          <w:rFonts w:hint="eastAsia" w:ascii="仿宋_GB2312" w:hAnsi="仿宋_GB2312" w:eastAsia="仿宋_GB2312" w:cs="仿宋_GB2312"/>
          <w:color w:val="auto"/>
          <w:sz w:val="32"/>
          <w:szCs w:val="32"/>
          <w:shd w:val="clear" w:color="auto" w:fill="FFFFFF"/>
        </w:rPr>
        <w:t>内现有百货品牌120余个</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rPr>
        <w:t>直接带动就业人员1500余人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商场负一层为1</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平</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米大型超市，</w:t>
      </w:r>
      <w:r>
        <w:rPr>
          <w:rFonts w:hint="eastAsia" w:ascii="仿宋_GB2312" w:hAnsi="仿宋_GB2312" w:eastAsia="仿宋_GB2312" w:cs="仿宋_GB2312"/>
          <w:color w:val="auto"/>
          <w:sz w:val="32"/>
          <w:szCs w:val="32"/>
          <w:lang w:eastAsia="zh-CN"/>
        </w:rPr>
        <w:t>拥有</w:t>
      </w:r>
      <w:r>
        <w:rPr>
          <w:rFonts w:hint="eastAsia" w:ascii="仿宋_GB2312" w:hAnsi="仿宋_GB2312" w:eastAsia="仿宋_GB2312" w:cs="仿宋_GB2312"/>
          <w:color w:val="auto"/>
          <w:sz w:val="32"/>
          <w:szCs w:val="32"/>
        </w:rPr>
        <w:t>烟酒糖茶、肉禽水产、熟食烘焙、低温日配、生活洗化、厨房用具、家用电器等</w:t>
      </w:r>
      <w:r>
        <w:rPr>
          <w:rFonts w:hint="eastAsia" w:ascii="仿宋_GB2312" w:hAnsi="仿宋_GB2312" w:eastAsia="仿宋_GB2312" w:cs="仿宋_GB2312"/>
          <w:color w:val="auto"/>
          <w:sz w:val="32"/>
          <w:szCs w:val="32"/>
          <w:lang w:eastAsia="zh-CN"/>
        </w:rPr>
        <w:t>商品，能够</w:t>
      </w:r>
      <w:r>
        <w:rPr>
          <w:rFonts w:hint="eastAsia" w:ascii="仿宋_GB2312" w:hAnsi="仿宋_GB2312" w:eastAsia="仿宋_GB2312" w:cs="仿宋_GB2312"/>
          <w:color w:val="auto"/>
          <w:sz w:val="32"/>
          <w:szCs w:val="32"/>
        </w:rPr>
        <w:t>满足顾客日常家居生活需求。</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方正仿宋_GB2312" w:hAnsi="方正仿宋_GB2312" w:eastAsia="方正仿宋_GB2312" w:cs="方正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（一）整合便民生活圈商业布局。</w:t>
      </w:r>
      <w:r>
        <w:rPr>
          <w:rFonts w:hint="eastAsia" w:ascii="仿宋_GB2312" w:hAnsi="仿宋_GB2312" w:eastAsia="仿宋_GB2312" w:cs="仿宋_GB2312"/>
          <w:b w:val="0"/>
          <w:bCs w:val="0"/>
          <w:color w:val="auto"/>
          <w:sz w:val="32"/>
          <w:szCs w:val="32"/>
          <w:lang w:val="en-US" w:eastAsia="zh-CN"/>
        </w:rPr>
        <w:t>科学配置商业设施，顺应消费升级趋势，推动便民商业设施进社区，盘活分散的社区空间资源，提高空间利用率和购物便利性，优化资源配置，提升服务效率，更好的满足居民日常生活需求。</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（二）优化便民生活圈社区服务。</w:t>
      </w:r>
      <w:r>
        <w:rPr>
          <w:rFonts w:hint="eastAsia" w:ascii="仿宋_GB2312" w:hAnsi="仿宋_GB2312" w:eastAsia="仿宋_GB2312" w:cs="仿宋_GB2312"/>
          <w:b w:val="0"/>
          <w:bCs w:val="0"/>
          <w:color w:val="auto"/>
          <w:sz w:val="32"/>
          <w:szCs w:val="32"/>
          <w:lang w:val="en-US" w:eastAsia="zh-CN"/>
        </w:rPr>
        <w:t>针对社区服务功能设置方面的薄弱环节，根据居民对生活品质提升的迫切需要，重点优化社区养老服务、婴幼儿照护服务、特色餐饮等，打造一刻钟政务服务和便民生活服务圈，鼓励社区便利店、超市等网点采取“一点多用”“一店多能”等方式，在安全卫生的前提下，适度搭载维修、打印复印、家政预约等项目，提供多样化便民服务，切实增强人民群众幸福感和获得感，打通社区服务“最后一公里”。</w:t>
      </w:r>
    </w:p>
    <w:p>
      <w:pPr>
        <w:pStyle w:val="5"/>
        <w:keepNext w:val="0"/>
        <w:keepLines w:val="0"/>
        <w:pageBreakBefore w:val="0"/>
        <w:widowControl w:val="0"/>
        <w:kinsoku w:val="0"/>
        <w:wordWrap/>
        <w:overflowPunct w:val="0"/>
        <w:topLinePunct w:val="0"/>
        <w:autoSpaceDE/>
        <w:autoSpaceDN/>
        <w:bidi w:val="0"/>
        <w:adjustRightInd w:val="0"/>
        <w:snapToGrid w:val="0"/>
        <w:spacing w:beforeLines="0" w:afterLines="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（三）培育壮大生活圈市场主体。</w:t>
      </w:r>
      <w:r>
        <w:rPr>
          <w:rFonts w:hint="eastAsia" w:ascii="仿宋_GB2312" w:hAnsi="仿宋_GB2312" w:eastAsia="仿宋_GB2312" w:cs="仿宋_GB2312"/>
          <w:b w:val="0"/>
          <w:bCs w:val="0"/>
          <w:color w:val="auto"/>
          <w:kern w:val="2"/>
          <w:sz w:val="32"/>
          <w:szCs w:val="32"/>
          <w:lang w:val="en-US" w:eastAsia="zh-CN"/>
        </w:rPr>
        <w:t>鼓励市场主体集聚式发展，推进便民生活圈规范化、便利化、品牌化、连锁化、特色化发展。重点引进品牌连锁企业、特色企业、老字号企业，通过直营、加盟等形式入驻一刻钟便民生活圈；鼓励商贸流通企业畅通物流渠道，为社区超市、便利店等末端零售市场提供集采集配、统仓统配等一站式服务。支持电商企业整合线下社区小店资源，全面扩展线上功能，实现线上下单、线下配送与网络购物社区全覆盖。</w:t>
      </w:r>
    </w:p>
    <w:p>
      <w:pPr>
        <w:pStyle w:val="5"/>
        <w:keepNext w:val="0"/>
        <w:keepLines w:val="0"/>
        <w:pageBreakBefore w:val="0"/>
        <w:widowControl w:val="0"/>
        <w:kinsoku w:val="0"/>
        <w:wordWrap/>
        <w:overflowPunct w:val="0"/>
        <w:topLinePunct w:val="0"/>
        <w:autoSpaceDE/>
        <w:autoSpaceDN/>
        <w:bidi w:val="0"/>
        <w:adjustRightInd w:val="0"/>
        <w:snapToGrid w:val="0"/>
        <w:spacing w:beforeLines="0" w:afterLines="0" w:line="600" w:lineRule="exact"/>
        <w:ind w:right="0" w:firstLine="640" w:firstLineChars="200"/>
        <w:jc w:val="both"/>
        <w:textAlignment w:val="auto"/>
        <w:outlineLvl w:val="9"/>
        <w:rPr>
          <w:rFonts w:hint="eastAsia" w:ascii="方正小标宋简体" w:hAnsi="方正小标宋简体" w:eastAsia="方正小标宋简体" w:cs="方正小标宋简体"/>
          <w:color w:val="auto"/>
          <w:sz w:val="44"/>
          <w:szCs w:val="44"/>
          <w:highlight w:val="yellow"/>
          <w:lang w:val="en-US" w:eastAsia="zh-CN"/>
        </w:rPr>
      </w:pPr>
      <w:r>
        <w:rPr>
          <w:rFonts w:hint="eastAsia" w:ascii="楷体_GB2312" w:hAnsi="楷体_GB2312" w:eastAsia="楷体_GB2312" w:cs="楷体_GB2312"/>
          <w:b w:val="0"/>
          <w:bCs w:val="0"/>
          <w:color w:val="auto"/>
          <w:kern w:val="2"/>
          <w:sz w:val="32"/>
          <w:szCs w:val="32"/>
          <w:lang w:val="en-US" w:eastAsia="zh-CN" w:bidi="ar-SA"/>
        </w:rPr>
        <w:t>（四）推动便民生活圈数字转型。</w:t>
      </w:r>
      <w:r>
        <w:rPr>
          <w:rFonts w:hint="eastAsia" w:ascii="仿宋_GB2312" w:hAnsi="仿宋_GB2312" w:eastAsia="仿宋_GB2312" w:cs="仿宋_GB2312"/>
          <w:b w:val="0"/>
          <w:bCs w:val="0"/>
          <w:color w:val="auto"/>
          <w:kern w:val="2"/>
          <w:sz w:val="32"/>
          <w:szCs w:val="32"/>
          <w:lang w:val="en-US" w:eastAsia="zh-CN"/>
        </w:rPr>
        <w:t>引导商业主体拓展沉浸式、体验式、互动式消费场景，鼓励智慧商店建设，创新云逛街、云购物、云直播、云体验，全面推进数字化转型；借助电商平台，拓展批发、零售、餐饮、住宿、美发等领域数字化营销活动，借助数字化营销等新媒体手段，拓展社交型便民生活应用场景。</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7.开发区当代购物中心一刻钟便民生活圈建设子方案</w:t>
      </w:r>
    </w:p>
    <w:p>
      <w:pPr>
        <w:keepNext w:val="0"/>
        <w:keepLines w:val="0"/>
        <w:pageBreakBefore w:val="0"/>
        <w:widowControl w:val="0"/>
        <w:wordWrap/>
        <w:topLinePunct w:val="0"/>
        <w:autoSpaceDE/>
        <w:autoSpaceDN/>
        <w:bidi w:val="0"/>
        <w:adjustRightInd w:val="0"/>
        <w:snapToGrid w:val="0"/>
        <w:spacing w:line="600" w:lineRule="exact"/>
        <w:ind w:firstLine="627" w:firstLineChars="196"/>
        <w:jc w:val="both"/>
        <w:textAlignment w:val="auto"/>
        <w:rPr>
          <w:rFonts w:hint="eastAsia" w:ascii="仿宋_GB2312" w:hAnsi="仿宋_GB2312" w:eastAsia="仿宋_GB2312" w:cs="仿宋_GB2312"/>
          <w:b w:val="0"/>
          <w:bCs w:val="0"/>
          <w:color w:val="auto"/>
          <w:spacing w:val="0"/>
          <w:w w:val="100"/>
          <w:position w:val="0"/>
          <w:sz w:val="32"/>
          <w:szCs w:val="32"/>
          <w:lang w:val="en-US"/>
        </w:rPr>
      </w:pPr>
      <w:r>
        <w:rPr>
          <w:rFonts w:hint="eastAsia" w:ascii="仿宋_GB2312" w:hAnsi="仿宋_GB2312" w:eastAsia="仿宋_GB2312" w:cs="仿宋_GB2312"/>
          <w:b w:val="0"/>
          <w:bCs w:val="0"/>
          <w:color w:val="auto"/>
          <w:sz w:val="32"/>
          <w:szCs w:val="32"/>
          <w:lang w:val="en-US" w:eastAsia="zh-CN"/>
        </w:rPr>
        <w:t>当代购物中心便民生活圈</w:t>
      </w:r>
      <w:r>
        <w:rPr>
          <w:rFonts w:hint="eastAsia" w:ascii="仿宋_GB2312" w:hAnsi="仿宋_GB2312" w:eastAsia="仿宋_GB2312" w:cs="仿宋_GB2312"/>
          <w:b w:val="0"/>
          <w:bCs w:val="0"/>
          <w:color w:val="auto"/>
          <w:sz w:val="32"/>
          <w:szCs w:val="32"/>
          <w:highlight w:val="none"/>
          <w:lang w:val="en-US" w:eastAsia="zh-CN"/>
        </w:rPr>
        <w:t>北至辽河路、南至黄河路、东至庐山路、西至黄山路，</w:t>
      </w:r>
      <w:r>
        <w:rPr>
          <w:rFonts w:hint="eastAsia" w:ascii="仿宋_GB2312" w:hAnsi="仿宋_GB2312" w:eastAsia="仿宋_GB2312" w:cs="仿宋_GB2312"/>
          <w:b w:val="0"/>
          <w:bCs w:val="0"/>
          <w:color w:val="auto"/>
          <w:sz w:val="32"/>
          <w:szCs w:val="32"/>
          <w:lang w:eastAsia="zh-CN"/>
        </w:rPr>
        <w:t>居住人</w:t>
      </w:r>
      <w:r>
        <w:rPr>
          <w:rFonts w:hint="eastAsia" w:ascii="仿宋_GB2312" w:hAnsi="仿宋_GB2312" w:eastAsia="仿宋_GB2312" w:cs="仿宋_GB2312"/>
          <w:b w:val="0"/>
          <w:bCs w:val="0"/>
          <w:color w:val="auto"/>
          <w:sz w:val="32"/>
          <w:szCs w:val="32"/>
          <w:highlight w:val="none"/>
          <w:lang w:eastAsia="zh-CN"/>
        </w:rPr>
        <w:t>口约</w:t>
      </w:r>
      <w:r>
        <w:rPr>
          <w:rFonts w:hint="eastAsia" w:ascii="仿宋_GB2312" w:hAnsi="仿宋_GB2312" w:eastAsia="仿宋_GB2312" w:cs="仿宋_GB2312"/>
          <w:b w:val="0"/>
          <w:bCs w:val="0"/>
          <w:color w:val="auto"/>
          <w:sz w:val="32"/>
          <w:szCs w:val="32"/>
          <w:highlight w:val="none"/>
          <w:lang w:val="en-US" w:eastAsia="zh-CN"/>
        </w:rPr>
        <w:t>3万</w:t>
      </w:r>
      <w:r>
        <w:rPr>
          <w:rFonts w:hint="eastAsia" w:ascii="仿宋_GB2312" w:hAnsi="仿宋_GB2312" w:eastAsia="仿宋_GB2312" w:cs="仿宋_GB2312"/>
          <w:b w:val="0"/>
          <w:bCs w:val="0"/>
          <w:color w:val="auto"/>
          <w:sz w:val="32"/>
          <w:szCs w:val="32"/>
          <w:highlight w:val="none"/>
          <w:lang w:eastAsia="zh-CN"/>
        </w:rPr>
        <w:t>余</w:t>
      </w:r>
      <w:r>
        <w:rPr>
          <w:rFonts w:hint="eastAsia" w:ascii="仿宋_GB2312" w:hAnsi="仿宋_GB2312" w:eastAsia="仿宋_GB2312" w:cs="仿宋_GB2312"/>
          <w:b w:val="0"/>
          <w:bCs w:val="0"/>
          <w:color w:val="auto"/>
          <w:sz w:val="32"/>
          <w:szCs w:val="32"/>
          <w:highlight w:val="none"/>
          <w:lang w:val="en-US" w:eastAsia="zh-CN"/>
        </w:rPr>
        <w:t>人，占地面积约3平方公里。生活圈内基本保障类业态比较齐全，主要包括便利店、综合超市、生鲜超市（菜店）、早餐店、洗染店、美容美发店、照相文印店、家政服务点、维修点、药店、</w:t>
      </w:r>
      <w:r>
        <w:rPr>
          <w:rFonts w:hint="eastAsia" w:ascii="仿宋_GB2312" w:hAnsi="仿宋_GB2312" w:eastAsia="仿宋_GB2312" w:cs="仿宋_GB2312"/>
          <w:b w:val="0"/>
          <w:bCs w:val="0"/>
          <w:color w:val="auto"/>
          <w:sz w:val="32"/>
          <w:szCs w:val="32"/>
          <w:lang w:val="en-US" w:eastAsia="zh-CN"/>
        </w:rPr>
        <w:t>社区诊所、</w:t>
      </w:r>
      <w:r>
        <w:rPr>
          <w:rFonts w:hint="eastAsia" w:ascii="仿宋_GB2312" w:hAnsi="仿宋_GB2312" w:eastAsia="仿宋_GB2312" w:cs="仿宋_GB2312"/>
          <w:b w:val="0"/>
          <w:bCs w:val="0"/>
          <w:color w:val="auto"/>
          <w:sz w:val="32"/>
          <w:szCs w:val="32"/>
          <w:highlight w:val="none"/>
          <w:lang w:val="en-US" w:eastAsia="zh-CN"/>
        </w:rPr>
        <w:t>邮政快递综合服务点（快递公共取送点）、特色餐饮店、新式书店、运动健身房、鲜花礼品店、茶艺咖啡馆、宠物服务站、再生资源回收点等。</w:t>
      </w:r>
      <w:r>
        <w:rPr>
          <w:rFonts w:hint="eastAsia" w:ascii="仿宋_GB2312" w:hAnsi="仿宋_GB2312" w:eastAsia="仿宋_GB2312" w:cs="仿宋_GB2312"/>
          <w:b w:val="0"/>
          <w:bCs w:val="0"/>
          <w:color w:val="auto"/>
          <w:sz w:val="32"/>
          <w:szCs w:val="32"/>
          <w:lang w:val="en-US" w:eastAsia="zh-CN"/>
        </w:rPr>
        <w:t>步行15分钟行程内，有较大的商业综合体</w:t>
      </w:r>
      <w:r>
        <w:rPr>
          <w:rFonts w:hint="eastAsia" w:ascii="仿宋_GB2312" w:hAnsi="仿宋_GB2312" w:eastAsia="仿宋_GB2312" w:cs="仿宋_GB2312"/>
          <w:b w:val="0"/>
          <w:bCs w:val="0"/>
          <w:color w:val="auto"/>
          <w:sz w:val="32"/>
          <w:szCs w:val="32"/>
          <w:lang w:eastAsia="zh-CN"/>
        </w:rPr>
        <w:t>当代购物中心，地处东昌路与中华路两条黄金大道交汇处，建筑面积9万平方米，是聊城东部首家大型一站式家庭娱乐购物中心，</w:t>
      </w:r>
      <w:r>
        <w:rPr>
          <w:rFonts w:hint="eastAsia" w:ascii="仿宋_GB2312" w:hAnsi="仿宋_GB2312" w:eastAsia="仿宋_GB2312" w:cs="仿宋_GB2312"/>
          <w:b w:val="0"/>
          <w:bCs w:val="0"/>
          <w:color w:val="auto"/>
          <w:sz w:val="32"/>
          <w:szCs w:val="32"/>
        </w:rPr>
        <w:t>地上四层地下</w:t>
      </w: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层，</w:t>
      </w:r>
      <w:r>
        <w:rPr>
          <w:rFonts w:hint="eastAsia" w:ascii="仿宋_GB2312" w:hAnsi="仿宋_GB2312" w:eastAsia="仿宋_GB2312" w:cs="仿宋_GB2312"/>
          <w:b w:val="0"/>
          <w:bCs w:val="0"/>
          <w:color w:val="auto"/>
          <w:sz w:val="32"/>
          <w:szCs w:val="32"/>
          <w:lang w:eastAsia="zh-CN"/>
        </w:rPr>
        <w:t>目前有各类时尚潮流品牌、大型品牌超市、特色餐饮、数字影院、量贩式KTV、动感健身房、儿童游乐城等。</w:t>
      </w:r>
      <w:r>
        <w:rPr>
          <w:rFonts w:hint="eastAsia" w:ascii="仿宋_GB2312" w:hAnsi="仿宋_GB2312" w:eastAsia="仿宋_GB2312" w:cs="仿宋_GB2312"/>
          <w:b w:val="0"/>
          <w:bCs w:val="0"/>
          <w:color w:val="auto"/>
          <w:sz w:val="32"/>
          <w:szCs w:val="32"/>
          <w:lang w:val="en-US" w:eastAsia="zh-CN"/>
        </w:rPr>
        <w:t>潮流服饰入驻品牌有耐克、阿迪、鸿星尔克、美邦、雷萨堡、斯飞图等；餐饮入驻品牌有高第街56号餐厅、李二鲜鱼、众稻八宝粥、半天妖烤鱼、鸡公虾婆、徒河烤肉、烂豆花火锅、瑞幸咖啡、阿水大杯茶、麦趣新语等；娱乐体验有奥卡影城、唛秀KTV、会飞的哈林、佳友台球、灰姑娘舞蹈、艾克瑞特机器人教育等；</w:t>
      </w:r>
      <w:r>
        <w:rPr>
          <w:rFonts w:hint="eastAsia" w:ascii="仿宋_GB2312" w:hAnsi="仿宋_GB2312" w:eastAsia="仿宋_GB2312" w:cs="仿宋_GB2312"/>
          <w:b w:val="0"/>
          <w:bCs w:val="0"/>
          <w:color w:val="auto"/>
          <w:sz w:val="32"/>
          <w:szCs w:val="32"/>
        </w:rPr>
        <w:t>商场负一层为</w:t>
      </w:r>
      <w:r>
        <w:rPr>
          <w:rFonts w:hint="eastAsia" w:ascii="仿宋_GB2312" w:hAnsi="仿宋_GB2312" w:eastAsia="仿宋_GB2312" w:cs="仿宋_GB2312"/>
          <w:b w:val="0"/>
          <w:bCs w:val="0"/>
          <w:color w:val="auto"/>
          <w:sz w:val="32"/>
          <w:szCs w:val="32"/>
          <w:lang w:val="en-US" w:eastAsia="zh-CN"/>
        </w:rPr>
        <w:t>8000</w:t>
      </w:r>
      <w:r>
        <w:rPr>
          <w:rFonts w:hint="eastAsia" w:ascii="仿宋_GB2312" w:hAnsi="仿宋_GB2312" w:eastAsia="仿宋_GB2312" w:cs="仿宋_GB2312"/>
          <w:b w:val="0"/>
          <w:bCs w:val="0"/>
          <w:color w:val="auto"/>
          <w:sz w:val="32"/>
          <w:szCs w:val="32"/>
        </w:rPr>
        <w:t>平</w:t>
      </w:r>
      <w:r>
        <w:rPr>
          <w:rFonts w:hint="eastAsia" w:ascii="仿宋_GB2312" w:hAnsi="仿宋_GB2312" w:eastAsia="仿宋_GB2312" w:cs="仿宋_GB2312"/>
          <w:b w:val="0"/>
          <w:bCs w:val="0"/>
          <w:color w:val="auto"/>
          <w:sz w:val="32"/>
          <w:szCs w:val="32"/>
          <w:lang w:eastAsia="zh-CN"/>
        </w:rPr>
        <w:t>方</w:t>
      </w:r>
      <w:r>
        <w:rPr>
          <w:rFonts w:hint="eastAsia" w:ascii="仿宋_GB2312" w:hAnsi="仿宋_GB2312" w:eastAsia="仿宋_GB2312" w:cs="仿宋_GB2312"/>
          <w:b w:val="0"/>
          <w:bCs w:val="0"/>
          <w:color w:val="auto"/>
          <w:sz w:val="32"/>
          <w:szCs w:val="32"/>
        </w:rPr>
        <w:t>米大型</w:t>
      </w:r>
      <w:r>
        <w:rPr>
          <w:rFonts w:hint="eastAsia" w:ascii="仿宋_GB2312" w:hAnsi="仿宋_GB2312" w:eastAsia="仿宋_GB2312" w:cs="仿宋_GB2312"/>
          <w:b w:val="0"/>
          <w:bCs w:val="0"/>
          <w:color w:val="auto"/>
          <w:sz w:val="32"/>
          <w:szCs w:val="32"/>
          <w:lang w:eastAsia="zh-CN"/>
        </w:rPr>
        <w:t>品牌连锁</w:t>
      </w:r>
      <w:r>
        <w:rPr>
          <w:rFonts w:hint="eastAsia" w:ascii="仿宋_GB2312" w:hAnsi="仿宋_GB2312" w:eastAsia="仿宋_GB2312" w:cs="仿宋_GB2312"/>
          <w:b w:val="0"/>
          <w:bCs w:val="0"/>
          <w:color w:val="auto"/>
          <w:sz w:val="32"/>
          <w:szCs w:val="32"/>
        </w:rPr>
        <w:t>超市，</w:t>
      </w:r>
      <w:r>
        <w:rPr>
          <w:rFonts w:hint="eastAsia" w:ascii="仿宋_GB2312" w:hAnsi="仿宋_GB2312" w:eastAsia="仿宋_GB2312" w:cs="仿宋_GB2312"/>
          <w:b w:val="0"/>
          <w:bCs w:val="0"/>
          <w:color w:val="auto"/>
          <w:sz w:val="32"/>
          <w:szCs w:val="32"/>
          <w:lang w:eastAsia="zh-CN"/>
        </w:rPr>
        <w:t>能够</w:t>
      </w:r>
      <w:r>
        <w:rPr>
          <w:rFonts w:hint="eastAsia" w:ascii="仿宋_GB2312" w:hAnsi="仿宋_GB2312" w:eastAsia="仿宋_GB2312" w:cs="仿宋_GB2312"/>
          <w:b w:val="0"/>
          <w:bCs w:val="0"/>
          <w:color w:val="auto"/>
          <w:sz w:val="32"/>
          <w:szCs w:val="32"/>
        </w:rPr>
        <w:t>满足顾客日常家居生活需求。</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（一）弥补便民生活圈缺失业态。</w:t>
      </w:r>
      <w:r>
        <w:rPr>
          <w:rFonts w:hint="eastAsia" w:ascii="仿宋_GB2312" w:hAnsi="仿宋_GB2312" w:eastAsia="仿宋_GB2312" w:cs="仿宋_GB2312"/>
          <w:b w:val="0"/>
          <w:bCs w:val="0"/>
          <w:color w:val="auto"/>
          <w:sz w:val="32"/>
          <w:szCs w:val="32"/>
          <w:highlight w:val="none"/>
          <w:lang w:val="en-US" w:eastAsia="zh-CN"/>
        </w:rPr>
        <w:t>按照“缺什么补什么”原则，优先补齐、优选、配强基本保障类业态。支持</w:t>
      </w:r>
      <w:r>
        <w:rPr>
          <w:rFonts w:hint="eastAsia" w:ascii="Times New Roman" w:hAnsi="仿宋_GB2312" w:eastAsia="仿宋_GB2312" w:cs="Times New Roman"/>
          <w:color w:val="auto"/>
          <w:sz w:val="32"/>
          <w:szCs w:val="32"/>
        </w:rPr>
        <w:t>社区利用闲置用房、整治改造后的房屋等空间，</w:t>
      </w:r>
      <w:r>
        <w:rPr>
          <w:rFonts w:hint="eastAsia" w:ascii="Times New Roman" w:hAnsi="仿宋_GB2312" w:eastAsia="仿宋_GB2312" w:cs="Times New Roman"/>
          <w:color w:val="auto"/>
          <w:sz w:val="32"/>
          <w:szCs w:val="32"/>
          <w:lang w:val="en-US" w:eastAsia="zh-CN"/>
        </w:rPr>
        <w:t>增加社区诊所及医疗服务，</w:t>
      </w:r>
      <w:r>
        <w:rPr>
          <w:rFonts w:hint="eastAsia" w:ascii="仿宋_GB2312" w:hAnsi="仿宋_GB2312" w:eastAsia="仿宋_GB2312" w:cs="仿宋_GB2312"/>
          <w:b w:val="0"/>
          <w:bCs w:val="0"/>
          <w:color w:val="auto"/>
          <w:sz w:val="32"/>
          <w:szCs w:val="32"/>
          <w:highlight w:val="none"/>
          <w:lang w:val="en-US" w:eastAsia="zh-CN"/>
        </w:rPr>
        <w:t>为居民身心健康发展保驾护航，</w:t>
      </w:r>
      <w:r>
        <w:rPr>
          <w:rFonts w:hint="eastAsia" w:ascii="仿宋_GB2312" w:hAnsi="仿宋_GB2312" w:eastAsia="仿宋_GB2312" w:cs="仿宋_GB2312"/>
          <w:b w:val="0"/>
          <w:bCs w:val="0"/>
          <w:color w:val="auto"/>
          <w:sz w:val="32"/>
          <w:szCs w:val="32"/>
          <w:lang w:val="en-US" w:eastAsia="zh-CN"/>
        </w:rPr>
        <w:t>促进社区的和谐与发展。</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方正仿宋_GB2312" w:hAnsi="方正仿宋_GB2312" w:eastAsia="方正仿宋_GB2312" w:cs="方正仿宋_GB2312"/>
          <w:color w:val="auto"/>
          <w:sz w:val="32"/>
          <w:szCs w:val="32"/>
          <w:lang w:eastAsia="zh-CN"/>
        </w:rPr>
      </w:pPr>
      <w:r>
        <w:rPr>
          <w:rFonts w:hint="eastAsia" w:ascii="楷体_GB2312" w:hAnsi="楷体_GB2312" w:eastAsia="楷体_GB2312" w:cs="楷体_GB2312"/>
          <w:b w:val="0"/>
          <w:bCs w:val="0"/>
          <w:color w:val="auto"/>
          <w:sz w:val="32"/>
          <w:szCs w:val="32"/>
          <w:lang w:val="en-US" w:eastAsia="zh-CN"/>
        </w:rPr>
        <w:t>（二）优化便民生活圈社区服务。</w:t>
      </w:r>
      <w:r>
        <w:rPr>
          <w:rFonts w:hint="eastAsia" w:ascii="仿宋_GB2312" w:hAnsi="仿宋_GB2312" w:eastAsia="仿宋_GB2312" w:cs="仿宋_GB2312"/>
          <w:b w:val="0"/>
          <w:bCs w:val="0"/>
          <w:color w:val="auto"/>
          <w:sz w:val="32"/>
          <w:szCs w:val="32"/>
          <w:highlight w:val="none"/>
          <w:lang w:val="en-US" w:eastAsia="zh-CN"/>
        </w:rPr>
        <w:t>根据居民对生活品质提升的迫切需要，重点优化社区养老服务、婴幼儿照护服务、特色餐饮等，打造一刻钟政务服务和便民生活服务圈，鼓励社区便利店、超市等网点采取“一点多用”“一店多能”等方式，在安全卫生的前提下，适度搭载维修、打印复印、家政预约等项目，提供多样化便民服务，切实增强人民群众的幸福感和获得感，打通社区服务“最后一公里”。</w:t>
      </w:r>
    </w:p>
    <w:p>
      <w:pPr>
        <w:pStyle w:val="5"/>
        <w:keepNext w:val="0"/>
        <w:keepLines w:val="0"/>
        <w:pageBreakBefore w:val="0"/>
        <w:widowControl w:val="0"/>
        <w:kinsoku w:val="0"/>
        <w:wordWrap/>
        <w:overflowPunct w:val="0"/>
        <w:topLinePunct w:val="0"/>
        <w:autoSpaceDE/>
        <w:autoSpaceDN/>
        <w:bidi w:val="0"/>
        <w:adjustRightInd w:val="0"/>
        <w:snapToGrid w:val="0"/>
        <w:spacing w:beforeLines="0" w:afterLines="0" w:line="600" w:lineRule="exact"/>
        <w:ind w:right="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（三）培育壮大生活圈市场主体。</w:t>
      </w:r>
      <w:r>
        <w:rPr>
          <w:rFonts w:hint="eastAsia" w:ascii="仿宋_GB2312" w:hAnsi="仿宋_GB2312" w:eastAsia="仿宋_GB2312" w:cs="仿宋_GB2312"/>
          <w:b w:val="0"/>
          <w:bCs w:val="0"/>
          <w:color w:val="auto"/>
          <w:kern w:val="2"/>
          <w:sz w:val="32"/>
          <w:szCs w:val="32"/>
          <w:lang w:val="en-US" w:eastAsia="zh-CN"/>
        </w:rPr>
        <w:t>鼓励市场主体集聚式发展，推进便民生活圈规范化、便利化、品牌化、连锁化、特色化发展。重点引进品牌连锁企业、特色企业、老字号企业，通过直营、加盟等形式入驻一刻钟便民生活圈；鼓励商贸流通企业畅通物流渠道，为社区超市、便利店等末端零售市场提供集采集配、统仓统配等一站式服务。支持电商企业整合线下社区小店资源，全面扩展线上功能，实现线上下单、线下配送与网络购物社区全覆盖。</w:t>
      </w:r>
    </w:p>
    <w:p>
      <w:pPr>
        <w:pStyle w:val="5"/>
        <w:keepNext w:val="0"/>
        <w:keepLines w:val="0"/>
        <w:pageBreakBefore w:val="0"/>
        <w:widowControl w:val="0"/>
        <w:kinsoku w:val="0"/>
        <w:wordWrap/>
        <w:overflowPunct w:val="0"/>
        <w:topLinePunct w:val="0"/>
        <w:autoSpaceDE/>
        <w:autoSpaceDN/>
        <w:bidi w:val="0"/>
        <w:adjustRightInd w:val="0"/>
        <w:snapToGrid w:val="0"/>
        <w:spacing w:beforeLines="0" w:afterLines="0" w:line="600" w:lineRule="exact"/>
        <w:ind w:right="0" w:firstLine="640" w:firstLineChars="200"/>
        <w:jc w:val="both"/>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楷体_GB2312" w:hAnsi="楷体_GB2312" w:eastAsia="楷体_GB2312" w:cs="楷体_GB2312"/>
          <w:b w:val="0"/>
          <w:bCs w:val="0"/>
          <w:color w:val="auto"/>
          <w:kern w:val="2"/>
          <w:sz w:val="32"/>
          <w:szCs w:val="32"/>
          <w:lang w:val="en-US" w:eastAsia="zh-CN" w:bidi="ar-SA"/>
        </w:rPr>
        <w:t>（四）推动便民生活圈数字转型。</w:t>
      </w:r>
      <w:r>
        <w:rPr>
          <w:rFonts w:hint="eastAsia" w:ascii="仿宋_GB2312" w:hAnsi="仿宋_GB2312" w:eastAsia="仿宋_GB2312" w:cs="仿宋_GB2312"/>
          <w:b w:val="0"/>
          <w:bCs w:val="0"/>
          <w:color w:val="auto"/>
          <w:kern w:val="2"/>
          <w:sz w:val="32"/>
          <w:szCs w:val="32"/>
          <w:highlight w:val="none"/>
          <w:lang w:val="en-US" w:eastAsia="zh-CN"/>
        </w:rPr>
        <w:t>引导商业主体拓展沉浸式、体验式、互动式消费场景，鼓励智慧商店建设，创新云逛街、云购物、云直播、云体验，全面推进数字化转型；借助电商平台，拓展批发、零售、餐饮、住宿、美发等领域数字化营销活动，借助数字化营销等新媒体手段，拓展社交型便民生活应用场景。</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8.</w:t>
      </w:r>
      <w:r>
        <w:rPr>
          <w:rFonts w:hint="default" w:ascii="黑体" w:hAnsi="黑体" w:eastAsia="黑体" w:cs="黑体"/>
          <w:color w:val="auto"/>
          <w:sz w:val="32"/>
          <w:szCs w:val="32"/>
          <w:lang w:val="en-US" w:eastAsia="zh-CN"/>
        </w:rPr>
        <w:t>高新区月季里一刻钟便民生活圈</w:t>
      </w:r>
      <w:r>
        <w:rPr>
          <w:rFonts w:hint="eastAsia" w:ascii="黑体" w:hAnsi="黑体" w:eastAsia="黑体" w:cs="黑体"/>
          <w:color w:val="auto"/>
          <w:sz w:val="32"/>
          <w:szCs w:val="32"/>
          <w:lang w:val="en-US" w:eastAsia="zh-CN"/>
        </w:rPr>
        <w:t>建设子方案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月季里一刻钟便民生活圈紧邻月季公园市民娱乐健身活动中心，西邻九州国际、九州花园、军王屯、九州新城等小区，居民数量约2.5万人。生活圈内包括大型超市、娱乐健身、餐饮、便民市场、药店等，15分钟内可以到达买菜、上学、健身、出行、文化、医疗、购物等各类生活所需的“圈内”服务，保障居民的日常生活。下一步，将发挥政府引导、市场主导作用，聚焦补短板、堵漏洞、强弱项，加强部门联动和监督管理，进一步探索一刻钟便民生活圈建设运营新模式，优化营商环境，共同推动便民生活圈健康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w:t>
      </w:r>
      <w:r>
        <w:rPr>
          <w:rFonts w:hint="default"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val="en-US" w:eastAsia="zh-CN"/>
        </w:rPr>
        <w:t>）优化营商环境。</w:t>
      </w:r>
      <w:r>
        <w:rPr>
          <w:rFonts w:hint="eastAsia" w:ascii="仿宋_GB2312" w:hAnsi="仿宋_GB2312" w:eastAsia="仿宋_GB2312" w:cs="仿宋_GB2312"/>
          <w:color w:val="auto"/>
          <w:sz w:val="32"/>
          <w:szCs w:val="32"/>
          <w:lang w:val="en-US" w:eastAsia="zh-CN"/>
        </w:rPr>
        <w:t>优化企业开办服务，推广电子证照应用，支持各地加大住所与经营场所登记改革力度。实施“包容审慎”监管，坚持处罚与教育相结合，对违法情节轻微、无违法后果或后果较轻的，在法律法规允许的幅度范围内给予适当从轻、减轻或免予处罚，指导和帮助市场主体整改。简化社区店铺开业程序，装修施工、招牌设置实行备案承诺制，公众聚集场所投入使用、营业前消防安全检查实行告知承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w:t>
      </w:r>
      <w:r>
        <w:rPr>
          <w:rFonts w:hint="default"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val="en-US" w:eastAsia="zh-CN"/>
        </w:rPr>
        <w:t>）夯实工作基础。</w:t>
      </w:r>
      <w:r>
        <w:rPr>
          <w:rFonts w:hint="eastAsia" w:ascii="仿宋_GB2312" w:hAnsi="仿宋_GB2312" w:eastAsia="仿宋_GB2312" w:cs="仿宋_GB2312"/>
          <w:color w:val="auto"/>
          <w:sz w:val="32"/>
          <w:szCs w:val="32"/>
          <w:lang w:val="en-US" w:eastAsia="zh-CN"/>
        </w:rPr>
        <w:t>鼓励第三方机构为社区小微企业和个体工商户提供数字化转型、信息咨询、装修设计、营销策划、经营分析等专业服务，开展一刻钟便民生活圈前期调研和后期初步验收工作，保障建设质量。鼓励商协会建立新商业模式成熟度评估制度，联合职业学校等机构，多渠道开展线上线下培训，深化校企合作，提升从业人员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（三）完善统计制度。</w:t>
      </w:r>
      <w:r>
        <w:rPr>
          <w:rFonts w:hint="eastAsia" w:ascii="仿宋_GB2312" w:hAnsi="仿宋_GB2312" w:eastAsia="仿宋_GB2312" w:cs="仿宋_GB2312"/>
          <w:color w:val="auto"/>
          <w:sz w:val="32"/>
          <w:szCs w:val="32"/>
          <w:lang w:val="en-US" w:eastAsia="zh-CN"/>
        </w:rPr>
        <w:t>加强便民生活圈的店铺数量、从业人数、居民满意度、建设改造投资额等指标统计。创新工作宣传和交流方式，把居民满意不满意作为检验标准，边试点、边总结、边推广成熟经验做法，不断增强人民群众的获得感、幸福感、安全感。</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9.茌平区齐韩一刻钟便民生活圈建设子方案</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齐韩一刻钟便民生活圈主要分布在茌平区顺</w:t>
      </w:r>
      <w:r>
        <w:rPr>
          <w:rFonts w:hint="eastAsia" w:ascii="仿宋_GB2312" w:hAnsi="仿宋_GB2312" w:eastAsia="仿宋_GB2312" w:cs="仿宋_GB2312"/>
          <w:b w:val="0"/>
          <w:bCs w:val="0"/>
          <w:color w:val="auto"/>
          <w:sz w:val="32"/>
          <w:szCs w:val="32"/>
          <w:lang w:eastAsia="zh-CN"/>
        </w:rPr>
        <w:t>河街与铝城路交叉口周边，居住人口约</w:t>
      </w:r>
      <w:r>
        <w:rPr>
          <w:rFonts w:hint="eastAsia" w:ascii="仿宋_GB2312" w:hAnsi="仿宋_GB2312" w:eastAsia="仿宋_GB2312" w:cs="仿宋_GB2312"/>
          <w:b w:val="0"/>
          <w:bCs w:val="0"/>
          <w:color w:val="auto"/>
          <w:sz w:val="32"/>
          <w:szCs w:val="32"/>
          <w:lang w:val="en-US" w:eastAsia="zh-CN"/>
        </w:rPr>
        <w:t>2.2万人，占地面积约2.5平方公里。生活圈内基本保障类业态比较齐全，能够满足社区居民一日三餐、生活必需品、家庭生活服务等基本消费需求，主要包括便利店、综合超市、菜市场、生鲜超市（菜店）、早餐店、洗染店、美容美发店、照相文印店、家政服务点、维修点、药店、邮政快递综合服务点（快递公共取送点）、再生资源回收点、前置仓等。</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（一）基本情况：</w:t>
      </w:r>
      <w:r>
        <w:rPr>
          <w:rFonts w:hint="eastAsia" w:ascii="仿宋_GB2312" w:hAnsi="仿宋_GB2312" w:eastAsia="仿宋_GB2312" w:cs="仿宋_GB2312"/>
          <w:b w:val="0"/>
          <w:bCs w:val="0"/>
          <w:color w:val="auto"/>
          <w:sz w:val="32"/>
          <w:szCs w:val="32"/>
          <w:lang w:val="en-US" w:eastAsia="zh-CN"/>
        </w:rPr>
        <w:t>光明商贸城地处齐韩村，建于2015年，现有经营业主20余户，从业人员40余人，承担着周围人口日常生活必需品的供给，</w:t>
      </w:r>
      <w:r>
        <w:rPr>
          <w:rFonts w:hint="eastAsia" w:ascii="仿宋_GB2312" w:hAnsi="仿宋_GB2312" w:eastAsia="仿宋_GB2312" w:cs="仿宋_GB2312"/>
          <w:b w:val="0"/>
          <w:bCs w:val="0"/>
          <w:color w:val="auto"/>
          <w:sz w:val="32"/>
          <w:szCs w:val="32"/>
        </w:rPr>
        <w:t>近年来，农贸市场建设取得</w:t>
      </w:r>
      <w:r>
        <w:rPr>
          <w:rFonts w:hint="eastAsia" w:ascii="仿宋_GB2312" w:hAnsi="仿宋_GB2312" w:eastAsia="仿宋_GB2312" w:cs="仿宋_GB2312"/>
          <w:b w:val="0"/>
          <w:bCs w:val="0"/>
          <w:color w:val="auto"/>
          <w:sz w:val="32"/>
          <w:szCs w:val="32"/>
          <w:lang w:eastAsia="zh-CN"/>
        </w:rPr>
        <w:t>一定成效</w:t>
      </w:r>
      <w:r>
        <w:rPr>
          <w:rFonts w:hint="eastAsia" w:ascii="仿宋_GB2312" w:hAnsi="仿宋_GB2312" w:eastAsia="仿宋_GB2312" w:cs="仿宋_GB2312"/>
          <w:b w:val="0"/>
          <w:bCs w:val="0"/>
          <w:color w:val="auto"/>
          <w:sz w:val="32"/>
          <w:szCs w:val="32"/>
        </w:rPr>
        <w:t>，基本形成了综合、批发与零售相配套的专业农贸市场体系，在促进经济发展、满足城乡居民消费需求、安置劳动力就业等方面发挥了重要作用。</w:t>
      </w:r>
      <w:r>
        <w:rPr>
          <w:rFonts w:hint="eastAsia" w:ascii="仿宋_GB2312" w:hAnsi="仿宋_GB2312" w:eastAsia="仿宋_GB2312" w:cs="仿宋_GB2312"/>
          <w:b w:val="0"/>
          <w:bCs w:val="0"/>
          <w:color w:val="auto"/>
          <w:sz w:val="32"/>
          <w:szCs w:val="32"/>
          <w:lang w:val="en-US" w:eastAsia="zh-CN"/>
        </w:rPr>
        <w:t>2021年对</w:t>
      </w:r>
      <w:r>
        <w:rPr>
          <w:rFonts w:hint="eastAsia" w:ascii="仿宋_GB2312" w:hAnsi="仿宋_GB2312" w:eastAsia="仿宋_GB2312" w:cs="仿宋_GB2312"/>
          <w:b w:val="0"/>
          <w:bCs w:val="0"/>
          <w:color w:val="auto"/>
          <w:sz w:val="32"/>
          <w:szCs w:val="32"/>
        </w:rPr>
        <w:t>农贸市场</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b w:val="0"/>
          <w:bCs w:val="0"/>
          <w:color w:val="auto"/>
          <w:sz w:val="32"/>
          <w:szCs w:val="32"/>
          <w:lang w:eastAsia="zh-CN"/>
        </w:rPr>
        <w:t>进行了</w:t>
      </w:r>
      <w:r>
        <w:rPr>
          <w:rFonts w:hint="eastAsia" w:ascii="仿宋_GB2312" w:hAnsi="仿宋_GB2312" w:eastAsia="仿宋_GB2312" w:cs="仿宋_GB2312"/>
          <w:b w:val="0"/>
          <w:bCs w:val="0"/>
          <w:color w:val="auto"/>
          <w:sz w:val="32"/>
          <w:szCs w:val="32"/>
        </w:rPr>
        <w:t>改造，促进市场正规化管理及食品安全管理，</w:t>
      </w:r>
      <w:r>
        <w:rPr>
          <w:rFonts w:hint="eastAsia" w:ascii="仿宋_GB2312" w:hAnsi="仿宋_GB2312" w:eastAsia="仿宋_GB2312" w:cs="仿宋_GB2312"/>
          <w:b w:val="0"/>
          <w:bCs w:val="0"/>
          <w:color w:val="auto"/>
          <w:sz w:val="32"/>
          <w:szCs w:val="32"/>
          <w:lang w:eastAsia="zh-CN"/>
        </w:rPr>
        <w:t>对场内排水设施、蔬菜水果</w:t>
      </w:r>
      <w:r>
        <w:rPr>
          <w:rFonts w:hint="eastAsia" w:ascii="仿宋_GB2312" w:hAnsi="仿宋_GB2312" w:eastAsia="仿宋_GB2312" w:cs="仿宋_GB2312"/>
          <w:b w:val="0"/>
          <w:bCs w:val="0"/>
          <w:color w:val="auto"/>
          <w:sz w:val="32"/>
          <w:szCs w:val="32"/>
        </w:rPr>
        <w:t>摊位</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停车场等进行了重新规划建设，市场主体加装二层</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（二）下一步工作措施：</w:t>
      </w:r>
      <w:r>
        <w:rPr>
          <w:rFonts w:hint="eastAsia" w:ascii="仿宋_GB2312" w:hAnsi="仿宋_GB2312" w:eastAsia="仿宋_GB2312" w:cs="仿宋_GB2312"/>
          <w:b w:val="0"/>
          <w:bCs w:val="0"/>
          <w:color w:val="auto"/>
          <w:sz w:val="32"/>
          <w:szCs w:val="32"/>
          <w:lang w:val="en-US" w:eastAsia="zh-CN"/>
        </w:rPr>
        <w:t>结合</w:t>
      </w:r>
      <w:r>
        <w:rPr>
          <w:rFonts w:hint="eastAsia" w:ascii="仿宋_GB2312" w:hAnsi="仿宋_GB2312" w:eastAsia="仿宋_GB2312" w:cs="仿宋_GB2312"/>
          <w:b w:val="0"/>
          <w:bCs w:val="0"/>
          <w:color w:val="auto"/>
          <w:sz w:val="32"/>
          <w:szCs w:val="32"/>
          <w:lang w:eastAsia="zh-CN"/>
        </w:rPr>
        <w:t>茌平光明商贸城</w:t>
      </w:r>
      <w:r>
        <w:rPr>
          <w:rFonts w:hint="eastAsia" w:ascii="仿宋_GB2312" w:hAnsi="仿宋_GB2312" w:eastAsia="仿宋_GB2312" w:cs="仿宋_GB2312"/>
          <w:b w:val="0"/>
          <w:bCs w:val="0"/>
          <w:color w:val="auto"/>
          <w:sz w:val="32"/>
          <w:szCs w:val="32"/>
        </w:rPr>
        <w:t>农贸市场的</w:t>
      </w:r>
      <w:r>
        <w:rPr>
          <w:rFonts w:hint="eastAsia" w:ascii="仿宋_GB2312" w:hAnsi="仿宋_GB2312" w:eastAsia="仿宋_GB2312" w:cs="仿宋_GB2312"/>
          <w:b w:val="0"/>
          <w:bCs w:val="0"/>
          <w:color w:val="auto"/>
          <w:sz w:val="32"/>
          <w:szCs w:val="32"/>
          <w:lang w:eastAsia="zh-CN"/>
        </w:rPr>
        <w:t>主体结构、</w:t>
      </w:r>
      <w:r>
        <w:rPr>
          <w:rFonts w:hint="eastAsia" w:ascii="仿宋_GB2312" w:hAnsi="仿宋_GB2312" w:eastAsia="仿宋_GB2312" w:cs="仿宋_GB2312"/>
          <w:b w:val="0"/>
          <w:bCs w:val="0"/>
          <w:color w:val="auto"/>
          <w:sz w:val="32"/>
          <w:szCs w:val="32"/>
        </w:rPr>
        <w:t>基础设施、功能配套设施、排污设施等方面</w:t>
      </w:r>
      <w:r>
        <w:rPr>
          <w:rFonts w:hint="eastAsia" w:ascii="仿宋_GB2312" w:hAnsi="仿宋_GB2312" w:eastAsia="仿宋_GB2312" w:cs="仿宋_GB2312"/>
          <w:b w:val="0"/>
          <w:bCs w:val="0"/>
          <w:color w:val="auto"/>
          <w:sz w:val="32"/>
          <w:szCs w:val="32"/>
          <w:lang w:eastAsia="zh-CN"/>
        </w:rPr>
        <w:t>进行</w:t>
      </w:r>
      <w:r>
        <w:rPr>
          <w:rFonts w:hint="eastAsia" w:ascii="仿宋_GB2312" w:hAnsi="仿宋_GB2312" w:eastAsia="仿宋_GB2312" w:cs="仿宋_GB2312"/>
          <w:b w:val="0"/>
          <w:bCs w:val="0"/>
          <w:color w:val="auto"/>
          <w:sz w:val="32"/>
          <w:szCs w:val="32"/>
        </w:rPr>
        <w:t>改造，加强农贸市场日常运营、档口环境卫生等方面的管理，促进市场管理规范</w:t>
      </w:r>
      <w:r>
        <w:rPr>
          <w:rFonts w:hint="eastAsia" w:ascii="仿宋_GB2312" w:hAnsi="仿宋_GB2312" w:eastAsia="仿宋_GB2312" w:cs="仿宋_GB2312"/>
          <w:b w:val="0"/>
          <w:bCs w:val="0"/>
          <w:color w:val="auto"/>
          <w:sz w:val="32"/>
          <w:szCs w:val="32"/>
          <w:lang w:eastAsia="zh-CN"/>
        </w:rPr>
        <w:t>。引导集贸市场与农贸市场有效结合，</w:t>
      </w:r>
      <w:r>
        <w:rPr>
          <w:rFonts w:hint="eastAsia" w:ascii="仿宋_GB2312" w:hAnsi="仿宋_GB2312" w:eastAsia="仿宋_GB2312" w:cs="仿宋_GB2312"/>
          <w:b w:val="0"/>
          <w:bCs w:val="0"/>
          <w:color w:val="auto"/>
          <w:sz w:val="32"/>
          <w:szCs w:val="32"/>
          <w:lang w:val="en-US" w:eastAsia="zh-CN"/>
        </w:rPr>
        <w:t>探索市场运营新模式，发挥市场主导作用，</w:t>
      </w:r>
      <w:r>
        <w:rPr>
          <w:rFonts w:hint="eastAsia" w:ascii="仿宋_GB2312" w:hAnsi="仿宋_GB2312" w:eastAsia="仿宋_GB2312" w:cs="仿宋_GB2312"/>
          <w:color w:val="auto"/>
          <w:sz w:val="32"/>
          <w:szCs w:val="32"/>
          <w:lang w:val="en-US" w:eastAsia="zh-CN"/>
        </w:rPr>
        <w:t>加强部门联动和监督管理，优化营商环境，增强居民的归属感、获得感。</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1</w:t>
      </w:r>
      <w:r>
        <w:rPr>
          <w:rFonts w:hint="default" w:ascii="黑体" w:hAnsi="黑体" w:eastAsia="黑体" w:cs="黑体"/>
          <w:color w:val="auto"/>
          <w:sz w:val="32"/>
          <w:szCs w:val="32"/>
          <w:lang w:val="en-US" w:eastAsia="zh-CN"/>
        </w:rPr>
        <w:t>0</w:t>
      </w:r>
      <w:r>
        <w:rPr>
          <w:rFonts w:hint="eastAsia" w:ascii="黑体" w:hAnsi="黑体" w:eastAsia="黑体" w:cs="黑体"/>
          <w:color w:val="auto"/>
          <w:sz w:val="32"/>
          <w:szCs w:val="32"/>
          <w:lang w:val="en-US" w:eastAsia="zh-CN"/>
        </w:rPr>
        <w:t>.茌平区光明一刻钟便民生活圈建设子方案</w:t>
      </w:r>
    </w:p>
    <w:p>
      <w:pPr>
        <w:keepNext w:val="0"/>
        <w:keepLines w:val="0"/>
        <w:pageBreakBefore w:val="0"/>
        <w:widowControl w:val="0"/>
        <w:tabs>
          <w:tab w:val="left" w:pos="1731"/>
        </w:tabs>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光明便民生活圈主要分布在茌平区道铝城路与枣乡街交叉口周边，</w:t>
      </w:r>
      <w:r>
        <w:rPr>
          <w:rFonts w:hint="eastAsia" w:ascii="仿宋_GB2312" w:hAnsi="仿宋_GB2312" w:eastAsia="仿宋_GB2312" w:cs="仿宋_GB2312"/>
          <w:b w:val="0"/>
          <w:bCs w:val="0"/>
          <w:color w:val="auto"/>
          <w:sz w:val="32"/>
          <w:szCs w:val="32"/>
          <w:lang w:eastAsia="zh-CN"/>
        </w:rPr>
        <w:t>居住人口约</w:t>
      </w:r>
      <w:r>
        <w:rPr>
          <w:rFonts w:hint="eastAsia" w:ascii="仿宋_GB2312" w:hAnsi="仿宋_GB2312" w:eastAsia="仿宋_GB2312" w:cs="仿宋_GB2312"/>
          <w:b w:val="0"/>
          <w:bCs w:val="0"/>
          <w:color w:val="auto"/>
          <w:sz w:val="32"/>
          <w:szCs w:val="32"/>
          <w:lang w:val="en-US" w:eastAsia="zh-CN"/>
        </w:rPr>
        <w:t>1.5万人，占地面积约2.5平方公里。生活圈内基本保障类业态比较齐全，主要包括便利店、综合超市、菜市场、生鲜超市（菜店）、早餐店、洗染店、美容美发店、照相文印店、家政服务点、维修点、药店、邮政快递综合服务点（快递公共取送点）、再生资源回收点、前置仓等。但品质提升类业态较少，尤其是社区养老服务机构、特色餐饮店、新式书店、运动健身房、鲜花礼品店、茶艺咖啡馆、宠物服务站等。</w:t>
      </w:r>
      <w:r>
        <w:rPr>
          <w:rFonts w:hint="eastAsia" w:ascii="仿宋_GB2312" w:hAnsi="仿宋_GB2312" w:eastAsia="仿宋_GB2312" w:cs="仿宋_GB2312"/>
          <w:b w:val="0"/>
          <w:bCs w:val="0"/>
          <w:color w:val="auto"/>
          <w:kern w:val="2"/>
          <w:sz w:val="32"/>
          <w:szCs w:val="32"/>
          <w:lang w:val="en-US" w:eastAsia="zh-CN" w:bidi="ar-SA"/>
        </w:rPr>
        <w:t>下一步，将推动光明一刻钟便民生活圈多业态入驻，推进农贸市场、餐饮、住宿、再生资源回收、美容美发、洗车、中央厨房等多行业齐聚，搭载便民服务功能，实现“互联网+生活”数字生活圈建设。</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（一）地理位置：</w:t>
      </w:r>
      <w:r>
        <w:rPr>
          <w:rFonts w:hint="eastAsia" w:ascii="仿宋_GB2312" w:hAnsi="仿宋_GB2312" w:eastAsia="仿宋_GB2312" w:cs="仿宋_GB2312"/>
          <w:b w:val="0"/>
          <w:bCs w:val="0"/>
          <w:color w:val="auto"/>
          <w:kern w:val="2"/>
          <w:sz w:val="32"/>
          <w:szCs w:val="32"/>
          <w:lang w:val="en-US" w:eastAsia="zh-CN" w:bidi="ar-SA"/>
        </w:rPr>
        <w:t>本项目位于茌平区信发街道铝城路与枣乡街交叉口东北角田源汇返乡创业园区内，西临汽车站，东临、北临齐韩社区，南临花千树小区及焦庄村等。</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（二）基本概况：</w:t>
      </w:r>
      <w:r>
        <w:rPr>
          <w:rFonts w:hint="eastAsia" w:ascii="仿宋_GB2312" w:hAnsi="仿宋_GB2312" w:eastAsia="仿宋_GB2312" w:cs="仿宋_GB2312"/>
          <w:b w:val="0"/>
          <w:bCs w:val="0"/>
          <w:color w:val="auto"/>
          <w:kern w:val="2"/>
          <w:sz w:val="32"/>
          <w:szCs w:val="32"/>
          <w:lang w:val="en-US" w:eastAsia="zh-CN" w:bidi="ar-SA"/>
        </w:rPr>
        <w:t>项目总面积约3.4万平方米，其中规划改造农贸市场面积约1.2万平方米（</w:t>
      </w:r>
      <w:r>
        <w:rPr>
          <w:rFonts w:hint="eastAsia" w:ascii="仿宋_GB2312" w:hAnsi="仿宋_GB2312" w:eastAsia="仿宋_GB2312" w:cs="仿宋_GB2312"/>
          <w:b w:val="0"/>
          <w:bCs w:val="0"/>
          <w:color w:val="auto"/>
          <w:kern w:val="2"/>
          <w:sz w:val="32"/>
          <w:szCs w:val="32"/>
          <w:highlight w:val="none"/>
          <w:lang w:val="en-US" w:eastAsia="zh-CN" w:bidi="ar-SA"/>
        </w:rPr>
        <w:t>室内面积为5000平方米,室外通道及停车场面积为7000平方米）</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（三）周边商业及住宅：</w:t>
      </w:r>
      <w:r>
        <w:rPr>
          <w:rFonts w:hint="eastAsia" w:ascii="仿宋_GB2312" w:hAnsi="仿宋_GB2312" w:eastAsia="仿宋_GB2312" w:cs="仿宋_GB2312"/>
          <w:b w:val="0"/>
          <w:bCs w:val="0"/>
          <w:color w:val="auto"/>
          <w:kern w:val="2"/>
          <w:sz w:val="32"/>
          <w:szCs w:val="32"/>
          <w:highlight w:val="none"/>
          <w:lang w:val="en-US" w:eastAsia="zh-CN" w:bidi="ar-SA"/>
        </w:rPr>
        <w:t>该项目坐落于茌平北城区的商业中心区域，道路周边为多个商业区，公交路线多，交通便利，酒店、餐饮，娱乐设施发达，所处位置具有很大的商业价值</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（四）居住人口特征：</w:t>
      </w:r>
      <w:r>
        <w:rPr>
          <w:rFonts w:hint="eastAsia" w:ascii="仿宋_GB2312" w:hAnsi="仿宋_GB2312" w:eastAsia="仿宋_GB2312" w:cs="仿宋_GB2312"/>
          <w:b w:val="0"/>
          <w:bCs w:val="0"/>
          <w:color w:val="auto"/>
          <w:kern w:val="2"/>
          <w:sz w:val="32"/>
          <w:szCs w:val="32"/>
          <w:lang w:val="en-US" w:eastAsia="zh-CN" w:bidi="ar-SA"/>
        </w:rPr>
        <w:t xml:space="preserve">该区域多为片区常住人口、企事业单位、个体经营人员、外来工作者等，其中部分居住者收入较高，高消费者众多。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（五）功能定位：</w:t>
      </w:r>
      <w:r>
        <w:rPr>
          <w:rFonts w:hint="eastAsia" w:ascii="仿宋_GB2312" w:hAnsi="仿宋_GB2312" w:eastAsia="仿宋_GB2312" w:cs="仿宋_GB2312"/>
          <w:b w:val="0"/>
          <w:bCs w:val="0"/>
          <w:color w:val="auto"/>
          <w:kern w:val="2"/>
          <w:sz w:val="32"/>
          <w:szCs w:val="32"/>
          <w:lang w:val="en-US" w:eastAsia="zh-CN" w:bidi="ar-SA"/>
        </w:rPr>
        <w:t>田源汇农贸市场以可持续经营为宗旨，以高标准硬件建设为核心竞争力，以中高端消费人群为基础。建设定位为：集农产品展示、交易、零售、气调、保鲜、贮藏、加工、分选、包装、配送、电子商务、无公害检验检测等多功能为一体的新型农产品流通平台。</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rPr>
      </w:pPr>
      <w:r>
        <w:rPr>
          <w:rFonts w:hint="eastAsia" w:ascii="楷体_GB2312" w:hAnsi="楷体_GB2312" w:eastAsia="楷体_GB2312" w:cs="楷体_GB2312"/>
          <w:b w:val="0"/>
          <w:bCs w:val="0"/>
          <w:color w:val="auto"/>
          <w:kern w:val="2"/>
          <w:sz w:val="32"/>
          <w:szCs w:val="32"/>
          <w:lang w:val="en-US" w:eastAsia="zh-CN" w:bidi="ar-SA"/>
        </w:rPr>
        <w:t>（六）规划布局：</w:t>
      </w:r>
      <w:r>
        <w:rPr>
          <w:rFonts w:hint="eastAsia" w:ascii="仿宋_GB2312" w:hAnsi="仿宋_GB2312" w:eastAsia="仿宋_GB2312" w:cs="仿宋_GB2312"/>
          <w:b w:val="0"/>
          <w:bCs w:val="0"/>
          <w:color w:val="auto"/>
          <w:kern w:val="2"/>
          <w:sz w:val="32"/>
          <w:szCs w:val="32"/>
          <w:lang w:val="en-US" w:eastAsia="zh-CN" w:bidi="ar-SA"/>
        </w:rPr>
        <w:t>为保证农贸市场布局的科学性、合理性和有序性，规划布局遵守以下原则：强调区域差别，按需布局；规模适当，服务半径合理；适应市场需求，留有发展余地；</w:t>
      </w:r>
      <w:r>
        <w:rPr>
          <w:rFonts w:hint="eastAsia" w:ascii="仿宋_GB2312" w:hAnsi="仿宋_GB2312" w:eastAsia="仿宋_GB2312" w:cs="仿宋_GB2312"/>
          <w:b w:val="0"/>
          <w:bCs w:val="0"/>
          <w:color w:val="auto"/>
          <w:sz w:val="32"/>
          <w:szCs w:val="32"/>
          <w:lang w:val="en-US" w:eastAsia="zh-CN"/>
        </w:rPr>
        <w:t>农贸市场内入驻商户达到100家以上；室内通道不小于使用面积的30%。</w:t>
      </w:r>
      <w:r>
        <w:rPr>
          <w:rFonts w:hint="eastAsia" w:ascii="仿宋_GB2312" w:hAnsi="仿宋_GB2312" w:eastAsia="仿宋_GB2312" w:cs="仿宋_GB2312"/>
          <w:b w:val="0"/>
          <w:bCs w:val="0"/>
          <w:i w:val="0"/>
          <w:caps w:val="0"/>
          <w:color w:val="auto"/>
          <w:spacing w:val="0"/>
          <w:sz w:val="32"/>
          <w:szCs w:val="32"/>
          <w:shd w:val="clear" w:color="auto" w:fill="FFFFFF"/>
        </w:rPr>
        <w:t>摊位正常营业使用率80%以上，场内主要通道宽度不小于3米，购物通道宽度不小于2米；</w:t>
      </w:r>
    </w:p>
    <w:p>
      <w:pPr>
        <w:keepNext w:val="0"/>
        <w:keepLines w:val="0"/>
        <w:pageBreakBefore w:val="0"/>
        <w:widowControl w:val="0"/>
        <w:tabs>
          <w:tab w:val="left" w:pos="1731"/>
        </w:tabs>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eastAsia="仿宋_GB2312"/>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（七）规模业态：</w:t>
      </w:r>
      <w:r>
        <w:rPr>
          <w:rFonts w:hint="eastAsia" w:ascii="仿宋_GB2312" w:hAnsi="仿宋_GB2312" w:eastAsia="仿宋_GB2312" w:cs="仿宋_GB2312"/>
          <w:b w:val="0"/>
          <w:bCs w:val="0"/>
          <w:color w:val="auto"/>
          <w:kern w:val="2"/>
          <w:sz w:val="32"/>
          <w:szCs w:val="32"/>
          <w:lang w:val="en-US" w:eastAsia="zh-CN" w:bidi="ar-SA"/>
        </w:rPr>
        <w:t>入驻商品品牌化率达到50%以上；利用电子商务进行信息发布、并开展网上交易；</w:t>
      </w:r>
      <w:r>
        <w:rPr>
          <w:rFonts w:hint="eastAsia" w:ascii="仿宋_GB2312" w:hAnsi="仿宋_GB2312" w:eastAsia="仿宋_GB2312" w:cs="仿宋_GB2312"/>
          <w:b w:val="0"/>
          <w:bCs w:val="0"/>
          <w:color w:val="auto"/>
          <w:sz w:val="32"/>
          <w:szCs w:val="32"/>
          <w:lang w:val="en-US" w:eastAsia="zh-CN"/>
        </w:rPr>
        <w:t>有与市场相配套的物流中心。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w w:val="105"/>
          <w:kern w:val="2"/>
          <w:sz w:val="32"/>
          <w:szCs w:val="24"/>
          <w:lang w:val="en-US" w:eastAsia="zh-CN" w:bidi="ar-SA"/>
        </w:rPr>
      </w:pPr>
      <w:r>
        <w:rPr>
          <w:rFonts w:hint="default" w:ascii="黑体" w:hAnsi="黑体" w:eastAsia="黑体" w:cs="黑体"/>
          <w:color w:val="auto"/>
          <w:sz w:val="32"/>
          <w:szCs w:val="32"/>
          <w:lang w:val="en-US" w:eastAsia="zh-CN"/>
        </w:rPr>
        <w:t>11.</w:t>
      </w:r>
      <w:r>
        <w:rPr>
          <w:rFonts w:hint="eastAsia" w:ascii="黑体" w:hAnsi="黑体" w:eastAsia="黑体" w:cs="黑体"/>
          <w:color w:val="auto"/>
          <w:sz w:val="32"/>
          <w:szCs w:val="32"/>
          <w:lang w:val="en-US" w:eastAsia="zh-CN"/>
        </w:rPr>
        <w:t>端庄社区一刻钟便民生活圈建设子方案</w:t>
      </w:r>
    </w:p>
    <w:p>
      <w:pPr>
        <w:pStyle w:val="5"/>
        <w:keepNext w:val="0"/>
        <w:keepLines w:val="0"/>
        <w:pageBreakBefore w:val="0"/>
        <w:widowControl w:val="0"/>
        <w:numPr>
          <w:ilvl w:val="0"/>
          <w:numId w:val="0"/>
        </w:numPr>
        <w:kinsoku w:val="0"/>
        <w:wordWrap/>
        <w:overflowPunct w:val="0"/>
        <w:topLinePunct w:val="0"/>
        <w:autoSpaceDE/>
        <w:autoSpaceDN/>
        <w:bidi w:val="0"/>
        <w:adjustRightInd w:val="0"/>
        <w:snapToGrid w:val="0"/>
        <w:spacing w:beforeLines="0" w:afterLines="0" w:line="600" w:lineRule="exact"/>
        <w:ind w:left="0" w:right="0" w:rightChars="0" w:firstLine="672" w:firstLineChars="200"/>
        <w:jc w:val="both"/>
        <w:textAlignment w:val="auto"/>
        <w:outlineLvl w:val="9"/>
        <w:rPr>
          <w:rFonts w:hint="eastAsia" w:ascii="仿宋_GB2312" w:hAnsi="仿宋_GB2312" w:eastAsia="仿宋_GB2312" w:cs="仿宋_GB2312"/>
          <w:color w:val="auto"/>
          <w:spacing w:val="0"/>
          <w:w w:val="100"/>
          <w:position w:val="0"/>
          <w:sz w:val="32"/>
          <w:szCs w:val="32"/>
          <w:lang w:val="en-US"/>
        </w:rPr>
      </w:pPr>
      <w:r>
        <w:rPr>
          <w:rFonts w:hint="eastAsia" w:ascii="仿宋_GB2312" w:hAnsi="仿宋_GB2312" w:eastAsia="仿宋_GB2312" w:cs="仿宋_GB2312"/>
          <w:color w:val="auto"/>
          <w:w w:val="105"/>
          <w:kern w:val="2"/>
          <w:sz w:val="32"/>
          <w:szCs w:val="24"/>
          <w:lang w:val="en-US" w:eastAsia="zh-CN" w:bidi="ar-SA"/>
        </w:rPr>
        <w:t>端庄社区隶属于度假区湖西街道办事处，辖区范围为湖南路以南，昌润路以东，辖区面积2.2平方公里，下辖5个居民小区，居民约1.12万人。社区内大型商场、酒店、连锁超市、便利店（生鲜便利店）、餐饮店、理发店、药店、洗衣店、家政店、维修店、综合服务店等业态齐全。</w:t>
      </w:r>
    </w:p>
    <w:p>
      <w:pPr>
        <w:pStyle w:val="5"/>
        <w:keepNext w:val="0"/>
        <w:keepLines w:val="0"/>
        <w:pageBreakBefore w:val="0"/>
        <w:widowControl w:val="0"/>
        <w:kinsoku w:val="0"/>
        <w:wordWrap/>
        <w:overflowPunct w:val="0"/>
        <w:topLinePunct w:val="0"/>
        <w:autoSpaceDE/>
        <w:autoSpaceDN/>
        <w:bidi w:val="0"/>
        <w:adjustRightInd w:val="0"/>
        <w:snapToGrid w:val="0"/>
        <w:spacing w:beforeLines="0" w:beforeAutospacing="0" w:afterLines="0" w:afterAutospacing="0" w:line="600" w:lineRule="exact"/>
        <w:ind w:left="0" w:right="0" w:firstLine="640" w:firstLineChars="200"/>
        <w:jc w:val="both"/>
        <w:textAlignment w:val="auto"/>
        <w:outlineLvl w:val="9"/>
        <w:rPr>
          <w:rFonts w:hint="eastAsia" w:eastAsia="仿宋_GB2312" w:cs="仿宋_GB2312"/>
          <w:color w:val="auto"/>
          <w:w w:val="105"/>
          <w:sz w:val="32"/>
          <w:szCs w:val="24"/>
        </w:rPr>
      </w:pPr>
      <w:r>
        <w:rPr>
          <w:rFonts w:hint="eastAsia" w:ascii="楷体_GB2312" w:hAnsi="楷体_GB2312" w:eastAsia="楷体_GB2312" w:cs="楷体_GB2312"/>
          <w:color w:val="auto"/>
          <w:kern w:val="0"/>
          <w:sz w:val="32"/>
          <w:szCs w:val="24"/>
          <w:shd w:val="clear" w:color="auto" w:fill="FFFFFF"/>
          <w:lang w:val="en-US" w:eastAsia="zh-CN" w:bidi="ar"/>
        </w:rPr>
        <w:t>（一）补齐设施短板。</w:t>
      </w:r>
      <w:r>
        <w:rPr>
          <w:rFonts w:hint="eastAsia" w:eastAsia="仿宋_GB2312" w:cs="仿宋_GB2312"/>
          <w:color w:val="auto"/>
          <w:w w:val="105"/>
          <w:sz w:val="32"/>
          <w:szCs w:val="24"/>
        </w:rPr>
        <w:t>完善基础设施建设，结合城乡社区服务体系建设，推动便民商业设施进社区，盘活分散的社区空间资源。提升商业中心综合服务设施，完善一站式便民服务功能，鼓励物业服务企业向养老、托育、家政、邮政快递、前置仓等延伸。</w:t>
      </w:r>
    </w:p>
    <w:p>
      <w:pPr>
        <w:pStyle w:val="5"/>
        <w:keepNext w:val="0"/>
        <w:keepLines w:val="0"/>
        <w:pageBreakBefore w:val="0"/>
        <w:widowControl w:val="0"/>
        <w:kinsoku w:val="0"/>
        <w:wordWrap/>
        <w:overflowPunct w:val="0"/>
        <w:topLinePunct w:val="0"/>
        <w:autoSpaceDE/>
        <w:autoSpaceDN/>
        <w:bidi w:val="0"/>
        <w:adjustRightInd w:val="0"/>
        <w:snapToGrid w:val="0"/>
        <w:spacing w:beforeLines="0" w:beforeAutospacing="0" w:afterLines="0" w:afterAutospacing="0" w:line="600" w:lineRule="exact"/>
        <w:ind w:left="0" w:right="0" w:firstLine="640" w:firstLineChars="200"/>
        <w:jc w:val="both"/>
        <w:textAlignment w:val="auto"/>
        <w:outlineLvl w:val="9"/>
        <w:rPr>
          <w:rFonts w:hint="eastAsia" w:eastAsia="仿宋_GB2312" w:cs="仿宋_GB2312"/>
          <w:color w:val="auto"/>
          <w:w w:val="105"/>
          <w:sz w:val="32"/>
          <w:szCs w:val="24"/>
        </w:rPr>
      </w:pPr>
      <w:r>
        <w:rPr>
          <w:rFonts w:hint="eastAsia" w:ascii="楷体_GB2312" w:hAnsi="楷体_GB2312" w:eastAsia="楷体_GB2312" w:cs="楷体_GB2312"/>
          <w:color w:val="auto"/>
          <w:kern w:val="0"/>
          <w:sz w:val="32"/>
          <w:szCs w:val="24"/>
          <w:shd w:val="clear" w:color="auto" w:fill="FFFFFF"/>
          <w:lang w:val="en-US" w:eastAsia="zh-CN" w:bidi="ar"/>
        </w:rPr>
        <w:t>（二）丰富商业业态。</w:t>
      </w:r>
      <w:r>
        <w:rPr>
          <w:rFonts w:hint="eastAsia" w:eastAsia="仿宋_GB2312" w:cs="仿宋_GB2312"/>
          <w:color w:val="auto"/>
          <w:w w:val="105"/>
          <w:sz w:val="32"/>
          <w:szCs w:val="24"/>
        </w:rPr>
        <mc:AlternateContent>
          <mc:Choice Requires="wps">
            <w:drawing>
              <wp:anchor distT="0" distB="0" distL="114300" distR="114300" simplePos="0" relativeHeight="251660288" behindDoc="0" locked="0" layoutInCell="1" allowOverlap="1">
                <wp:simplePos x="0" y="0"/>
                <wp:positionH relativeFrom="page">
                  <wp:posOffset>7486015</wp:posOffset>
                </wp:positionH>
                <wp:positionV relativeFrom="paragraph">
                  <wp:posOffset>2761615</wp:posOffset>
                </wp:positionV>
                <wp:extent cx="76200" cy="914400"/>
                <wp:effectExtent l="0" t="0" r="0" b="0"/>
                <wp:wrapNone/>
                <wp:docPr id="14" name="矩形 14"/>
                <wp:cNvGraphicFramePr/>
                <a:graphic xmlns:a="http://schemas.openxmlformats.org/drawingml/2006/main">
                  <a:graphicData uri="http://schemas.microsoft.com/office/word/2010/wordprocessingShape">
                    <wps:wsp>
                      <wps:cNvSpPr/>
                      <wps:spPr>
                        <a:xfrm>
                          <a:off x="0" y="0"/>
                          <a:ext cx="76200" cy="914400"/>
                        </a:xfrm>
                        <a:prstGeom prst="rect">
                          <a:avLst/>
                        </a:prstGeom>
                        <a:noFill/>
                        <a:ln>
                          <a:noFill/>
                        </a:ln>
                        <a:effectLst/>
                      </wps:spPr>
                      <wps:txbx>
                        <w:txbxContent>
                          <w:p>
                            <w:pPr>
                              <w:widowControl/>
                              <w:autoSpaceDE/>
                              <w:autoSpaceDN/>
                              <w:adjustRightInd/>
                              <w:spacing w:beforeLines="0" w:afterLines="0" w:line="1440" w:lineRule="atLeast"/>
                              <w:rPr>
                                <w:rFonts w:hint="default"/>
                                <w:sz w:val="24"/>
                                <w:szCs w:val="24"/>
                              </w:rPr>
                            </w:pPr>
                            <w:r>
                              <w:rPr>
                                <w:rFonts w:hint="default"/>
                                <w:sz w:val="24"/>
                                <w:szCs w:val="24"/>
                              </w:rPr>
                              <w:drawing>
                                <wp:inline distT="0" distB="0" distL="114300" distR="114300">
                                  <wp:extent cx="73025" cy="914400"/>
                                  <wp:effectExtent l="0" t="0" r="317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stretch>
                                            <a:fillRect/>
                                          </a:stretch>
                                        </pic:blipFill>
                                        <pic:spPr>
                                          <a:xfrm>
                                            <a:off x="0" y="0"/>
                                            <a:ext cx="73025" cy="914400"/>
                                          </a:xfrm>
                                          <a:prstGeom prst="rect">
                                            <a:avLst/>
                                          </a:prstGeom>
                                          <a:noFill/>
                                          <a:ln>
                                            <a:noFill/>
                                          </a:ln>
                                        </pic:spPr>
                                      </pic:pic>
                                    </a:graphicData>
                                  </a:graphic>
                                </wp:inline>
                              </w:drawing>
                            </w:r>
                          </w:p>
                          <w:p>
                            <w:pPr>
                              <w:spacing w:beforeLines="0" w:afterLines="0"/>
                              <w:rPr>
                                <w:rFonts w:hint="default"/>
                                <w:sz w:val="24"/>
                                <w:szCs w:val="24"/>
                              </w:rPr>
                            </w:pPr>
                          </w:p>
                        </w:txbxContent>
                      </wps:txbx>
                      <wps:bodyPr lIns="0" tIns="0" rIns="0" bIns="0" upright="1"/>
                    </wps:wsp>
                  </a:graphicData>
                </a:graphic>
              </wp:anchor>
            </w:drawing>
          </mc:Choice>
          <mc:Fallback>
            <w:pict>
              <v:rect id="_x0000_s1026" o:spid="_x0000_s1026" o:spt="1" style="position:absolute;left:0pt;margin-left:589.45pt;margin-top:217.45pt;height:72pt;width:6pt;mso-position-horizontal-relative:page;z-index:251660288;mso-width-relative:page;mso-height-relative:page;" filled="f" stroked="f" coordsize="21600,21600" o:gfxdata="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">
                <v:fill on="f" focussize="0,0"/>
                <v:stroke on="f"/>
                <v:imagedata o:title=""/>
                <o:lock v:ext="edit" aspectratio="f"/>
                <v:textbox inset="0mm,0mm,0mm,0mm">
                  <w:txbxContent>
                    <w:p>
                      <w:pPr>
                        <w:widowControl/>
                        <w:autoSpaceDE/>
                        <w:autoSpaceDN/>
                        <w:adjustRightInd/>
                        <w:spacing w:beforeLines="0" w:afterLines="0" w:line="1440" w:lineRule="atLeast"/>
                        <w:rPr>
                          <w:rFonts w:hint="default"/>
                          <w:sz w:val="24"/>
                          <w:szCs w:val="24"/>
                        </w:rPr>
                      </w:pPr>
                      <w:r>
                        <w:rPr>
                          <w:rFonts w:hint="default"/>
                          <w:sz w:val="24"/>
                          <w:szCs w:val="24"/>
                        </w:rPr>
                        <w:drawing>
                          <wp:inline distT="0" distB="0" distL="114300" distR="114300">
                            <wp:extent cx="73025" cy="914400"/>
                            <wp:effectExtent l="0" t="0" r="317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stretch>
                                      <a:fillRect/>
                                    </a:stretch>
                                  </pic:blipFill>
                                  <pic:spPr>
                                    <a:xfrm>
                                      <a:off x="0" y="0"/>
                                      <a:ext cx="73025" cy="914400"/>
                                    </a:xfrm>
                                    <a:prstGeom prst="rect">
                                      <a:avLst/>
                                    </a:prstGeom>
                                    <a:noFill/>
                                    <a:ln>
                                      <a:noFill/>
                                    </a:ln>
                                  </pic:spPr>
                                </pic:pic>
                              </a:graphicData>
                            </a:graphic>
                          </wp:inline>
                        </w:drawing>
                      </w:r>
                    </w:p>
                    <w:p>
                      <w:pPr>
                        <w:spacing w:beforeLines="0" w:afterLines="0"/>
                        <w:rPr>
                          <w:rFonts w:hint="default"/>
                          <w:sz w:val="24"/>
                          <w:szCs w:val="24"/>
                        </w:rPr>
                      </w:pPr>
                    </w:p>
                  </w:txbxContent>
                </v:textbox>
              </v:rect>
            </w:pict>
          </mc:Fallback>
        </mc:AlternateContent>
      </w:r>
      <w:r>
        <w:rPr>
          <w:rFonts w:hint="eastAsia" w:eastAsia="仿宋_GB2312" w:cs="仿宋_GB2312"/>
          <w:color w:val="auto"/>
          <w:w w:val="105"/>
          <w:sz w:val="32"/>
          <w:szCs w:val="24"/>
        </w:rPr>
        <w:t>鼓励金融、快递、旅游、维修等商业服务项目叠加到社区便利店、超市，增加和扩大社区便利店、超市公共服务种类，保障</w:t>
      </w:r>
      <w:r>
        <w:rPr>
          <w:rFonts w:hint="eastAsia" w:eastAsia="仿宋_GB2312" w:cs="仿宋_GB2312"/>
          <w:color w:val="auto"/>
          <w:w w:val="105"/>
          <w:sz w:val="32"/>
          <w:szCs w:val="24"/>
          <w:lang w:eastAsia="zh-CN"/>
        </w:rPr>
        <w:t>居民</w:t>
      </w:r>
      <w:r>
        <w:rPr>
          <w:rFonts w:hint="eastAsia" w:eastAsia="仿宋_GB2312" w:cs="仿宋_GB2312"/>
          <w:color w:val="auto"/>
          <w:w w:val="105"/>
          <w:sz w:val="32"/>
          <w:szCs w:val="24"/>
        </w:rPr>
        <w:t>生活</w:t>
      </w:r>
      <w:r>
        <w:rPr>
          <w:rFonts w:hint="eastAsia" w:eastAsia="仿宋_GB2312" w:cs="仿宋_GB2312"/>
          <w:color w:val="auto"/>
          <w:w w:val="105"/>
          <w:sz w:val="32"/>
          <w:szCs w:val="24"/>
          <w:lang w:eastAsia="zh-CN"/>
        </w:rPr>
        <w:t>需求</w:t>
      </w:r>
      <w:r>
        <w:rPr>
          <w:rFonts w:hint="eastAsia" w:eastAsia="仿宋_GB2312" w:cs="仿宋_GB2312"/>
          <w:color w:val="auto"/>
          <w:w w:val="105"/>
          <w:sz w:val="32"/>
          <w:szCs w:val="24"/>
        </w:rPr>
        <w:t>。</w:t>
      </w:r>
    </w:p>
    <w:p>
      <w:pPr>
        <w:pStyle w:val="5"/>
        <w:keepNext w:val="0"/>
        <w:keepLines w:val="0"/>
        <w:pageBreakBefore w:val="0"/>
        <w:widowControl w:val="0"/>
        <w:kinsoku w:val="0"/>
        <w:wordWrap/>
        <w:overflowPunct w:val="0"/>
        <w:topLinePunct w:val="0"/>
        <w:autoSpaceDE/>
        <w:autoSpaceDN/>
        <w:bidi w:val="0"/>
        <w:adjustRightInd w:val="0"/>
        <w:snapToGrid w:val="0"/>
        <w:spacing w:beforeLines="0" w:beforeAutospacing="0" w:afterLines="0" w:afterAutospacing="0" w:line="600" w:lineRule="exact"/>
        <w:ind w:left="0" w:right="0" w:firstLine="640" w:firstLineChars="200"/>
        <w:jc w:val="both"/>
        <w:textAlignment w:val="auto"/>
        <w:outlineLvl w:val="9"/>
        <w:rPr>
          <w:rFonts w:hint="eastAsia" w:eastAsia="仿宋_GB2312" w:cs="仿宋_GB2312"/>
          <w:color w:val="auto"/>
          <w:w w:val="105"/>
          <w:sz w:val="32"/>
          <w:szCs w:val="24"/>
        </w:rPr>
      </w:pPr>
      <w:r>
        <w:rPr>
          <w:rFonts w:hint="eastAsia" w:ascii="楷体_GB2312" w:hAnsi="楷体_GB2312" w:eastAsia="楷体_GB2312" w:cs="楷体_GB2312"/>
          <w:color w:val="auto"/>
          <w:kern w:val="0"/>
          <w:sz w:val="32"/>
          <w:szCs w:val="24"/>
          <w:shd w:val="clear" w:color="auto" w:fill="FFFFFF"/>
          <w:lang w:val="en-US" w:eastAsia="zh-CN" w:bidi="ar"/>
        </w:rPr>
        <w:t>（三）壮大市场主体。</w:t>
      </w:r>
      <w:r>
        <w:rPr>
          <w:rFonts w:hint="eastAsia" w:eastAsia="仿宋_GB2312" w:cs="仿宋_GB2312"/>
          <w:color w:val="auto"/>
          <w:w w:val="105"/>
          <w:sz w:val="32"/>
          <w:szCs w:val="24"/>
        </w:rPr>
        <w:t>引导企业集聚发展，大力推动社区零售品牌</w:t>
      </w:r>
      <w:r>
        <w:rPr>
          <w:rFonts w:hint="eastAsia" w:eastAsia="仿宋_GB2312" w:cs="仿宋_GB2312"/>
          <w:color w:val="auto"/>
          <w:w w:val="105"/>
          <w:sz w:val="32"/>
          <w:szCs w:val="24"/>
          <w:lang w:eastAsia="zh-CN"/>
        </w:rPr>
        <w:t>化、</w:t>
      </w:r>
      <w:r>
        <w:rPr>
          <w:rFonts w:hint="eastAsia" w:eastAsia="仿宋_GB2312" w:cs="仿宋_GB2312"/>
          <w:color w:val="auto"/>
          <w:w w:val="105"/>
          <w:sz w:val="32"/>
          <w:szCs w:val="24"/>
        </w:rPr>
        <w:t>连锁化发展，提高连锁比重，鼓励品牌连锁便利店进社区，搭载便民服务功能，推进便利</w:t>
      </w:r>
      <w:r>
        <w:rPr>
          <w:rFonts w:hint="eastAsia" w:ascii="仿宋_GB2312" w:hAnsi="仿宋_GB2312" w:eastAsia="仿宋_GB2312" w:cs="仿宋_GB2312"/>
          <w:color w:val="auto"/>
          <w:w w:val="105"/>
          <w:sz w:val="32"/>
          <w:szCs w:val="24"/>
        </w:rPr>
        <w:t>店＋</w:t>
      </w:r>
      <w:r>
        <w:rPr>
          <w:rFonts w:hint="eastAsia" w:eastAsia="仿宋_GB2312" w:cs="仿宋_GB2312"/>
          <w:color w:val="auto"/>
          <w:w w:val="105"/>
          <w:sz w:val="32"/>
          <w:szCs w:val="24"/>
        </w:rPr>
        <w:t>餐饮休闲、无人便利店等新业态，提高便民服务水平。鼓励便利店、药店等社区商业网点延长营业时间</w:t>
      </w:r>
      <w:r>
        <w:rPr>
          <w:rFonts w:hint="eastAsia" w:eastAsia="仿宋_GB2312" w:cs="仿宋_GB2312"/>
          <w:color w:val="auto"/>
          <w:w w:val="105"/>
          <w:sz w:val="32"/>
          <w:szCs w:val="24"/>
          <w:lang w:eastAsia="zh-CN"/>
        </w:rPr>
        <w:t>，</w:t>
      </w:r>
      <w:r>
        <w:rPr>
          <w:rFonts w:hint="eastAsia" w:eastAsia="仿宋_GB2312" w:cs="仿宋_GB2312"/>
          <w:color w:val="auto"/>
          <w:w w:val="105"/>
          <w:sz w:val="32"/>
          <w:szCs w:val="24"/>
        </w:rPr>
        <w:t>推动社区商业转型升级。</w:t>
      </w:r>
    </w:p>
    <w:p>
      <w:pPr>
        <w:pStyle w:val="5"/>
        <w:keepNext w:val="0"/>
        <w:keepLines w:val="0"/>
        <w:pageBreakBefore w:val="0"/>
        <w:widowControl w:val="0"/>
        <w:kinsoku w:val="0"/>
        <w:wordWrap/>
        <w:overflowPunct w:val="0"/>
        <w:topLinePunct w:val="0"/>
        <w:autoSpaceDE/>
        <w:autoSpaceDN/>
        <w:bidi w:val="0"/>
        <w:adjustRightInd w:val="0"/>
        <w:snapToGrid w:val="0"/>
        <w:spacing w:beforeLines="0" w:afterLines="0" w:line="600" w:lineRule="exact"/>
        <w:ind w:left="0" w:right="0" w:firstLine="640" w:firstLineChars="200"/>
        <w:jc w:val="both"/>
        <w:textAlignment w:val="auto"/>
        <w:outlineLvl w:val="9"/>
        <w:rPr>
          <w:color w:val="auto"/>
        </w:rPr>
      </w:pPr>
      <w:r>
        <w:rPr>
          <w:rFonts w:hint="eastAsia" w:ascii="楷体_GB2312" w:hAnsi="楷体_GB2312" w:eastAsia="楷体_GB2312" w:cs="楷体_GB2312"/>
          <w:color w:val="auto"/>
          <w:kern w:val="0"/>
          <w:sz w:val="32"/>
          <w:szCs w:val="24"/>
          <w:shd w:val="clear" w:color="auto" w:fill="FFFFFF"/>
          <w:lang w:val="en-US" w:eastAsia="zh-CN" w:bidi="ar"/>
        </w:rPr>
        <w:t>（四）创新服务能力。</w:t>
      </w:r>
      <w:r>
        <w:rPr>
          <w:rFonts w:hint="eastAsia" w:eastAsia="仿宋_GB2312" w:cs="仿宋_GB2312"/>
          <w:color w:val="auto"/>
          <w:w w:val="105"/>
          <w:sz w:val="32"/>
          <w:szCs w:val="24"/>
        </w:rPr>
        <w:t>鼓励智慧商店建设，引导社区实体零售企业数字化转型，加强实体与网络平台融合，鼓励社区商业网点差异化发展，搭借电商平台，拓展线上市场，利用平台技术、流量、场景和资源优势，创新云逛街、云购物、云直播、云体验，拓展批发、零售、餐饮、住宿、美发等领域数字化营销活动，借助数字化营销等新媒体手段，拓展社交型便民生活</w:t>
      </w:r>
      <w:r>
        <w:rPr>
          <w:rFonts w:hint="eastAsia" w:eastAsia="仿宋_GB2312" w:cs="仿宋_GB2312"/>
          <w:color w:val="auto"/>
          <w:w w:val="105"/>
          <w:sz w:val="32"/>
          <w:szCs w:val="24"/>
          <w:lang w:eastAsia="zh-CN"/>
        </w:rPr>
        <w:t>圈</w:t>
      </w:r>
      <w:r>
        <w:rPr>
          <w:rFonts w:hint="eastAsia" w:eastAsia="仿宋_GB2312" w:cs="仿宋_GB2312"/>
          <w:color w:val="auto"/>
          <w:w w:val="105"/>
          <w:sz w:val="32"/>
          <w:szCs w:val="24"/>
        </w:rPr>
        <w:t>应用场景。</w:t>
      </w:r>
    </w:p>
    <w:p>
      <w:pPr>
        <w:pStyle w:val="8"/>
        <w:keepNext w:val="0"/>
        <w:keepLines w:val="0"/>
        <w:pageBreakBefore w:val="0"/>
        <w:widowControl w:val="0"/>
        <w:wordWrap/>
        <w:topLinePunct w:val="0"/>
        <w:autoSpaceDE/>
        <w:autoSpaceDN/>
        <w:bidi w:val="0"/>
        <w:adjustRightInd/>
        <w:snapToGrid/>
        <w:spacing w:line="600" w:lineRule="exact"/>
        <w:jc w:val="both"/>
        <w:textAlignment w:val="auto"/>
        <w:rPr>
          <w:rFonts w:hint="eastAsia" w:ascii="仿宋_GB2312" w:eastAsia="仿宋_GB2312"/>
          <w:color w:val="auto"/>
          <w:sz w:val="32"/>
          <w:szCs w:val="32"/>
          <w:lang w:val="en-US" w:eastAsia="zh-CN"/>
        </w:rPr>
      </w:pPr>
    </w:p>
    <w:p>
      <w:pPr>
        <w:jc w:val="both"/>
        <w:rPr>
          <w:rFonts w:hint="default"/>
          <w:color w:val="auto"/>
          <w:lang w:val="en-US" w:eastAsia="zh-CN"/>
        </w:rPr>
      </w:pPr>
    </w:p>
    <w:sectPr>
      <w:footerReference r:id="rId6" w:type="default"/>
      <w:pgSz w:w="11906" w:h="16838"/>
      <w:pgMar w:top="1701" w:right="1587" w:bottom="1587"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ntury Gothic">
    <w:altName w:val="Noto Music"/>
    <w:panose1 w:val="020B0502020202020204"/>
    <w:charset w:val="00"/>
    <w:family w:val="swiss"/>
    <w:pitch w:val="default"/>
    <w:sig w:usb0="00000000" w:usb1="00000000" w:usb2="00000000" w:usb3="00000000" w:csb0="0000009F" w:csb1="00000000"/>
  </w:font>
  <w:font w:name="Noto Music">
    <w:panose1 w:val="020B0502040504020204"/>
    <w:charset w:val="00"/>
    <w:family w:val="auto"/>
    <w:pitch w:val="default"/>
    <w:sig w:usb0="00000003" w:usb1="02006000" w:usb2="01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1MTdjNmNhNzlkMDYwNTM0YTgyM2E4Njg5MmY3MTkifQ=="/>
  </w:docVars>
  <w:rsids>
    <w:rsidRoot w:val="3E2E07CC"/>
    <w:rsid w:val="001A4716"/>
    <w:rsid w:val="003C28DE"/>
    <w:rsid w:val="00AB7A64"/>
    <w:rsid w:val="00AC161C"/>
    <w:rsid w:val="00B06E28"/>
    <w:rsid w:val="00DC19CB"/>
    <w:rsid w:val="0147778C"/>
    <w:rsid w:val="016D0F2B"/>
    <w:rsid w:val="01BD7A4F"/>
    <w:rsid w:val="01F64B41"/>
    <w:rsid w:val="022B2C0A"/>
    <w:rsid w:val="02456121"/>
    <w:rsid w:val="02624152"/>
    <w:rsid w:val="026D3223"/>
    <w:rsid w:val="02E1760A"/>
    <w:rsid w:val="02E962F6"/>
    <w:rsid w:val="032C665D"/>
    <w:rsid w:val="03433F84"/>
    <w:rsid w:val="04AD3DAA"/>
    <w:rsid w:val="04D330E5"/>
    <w:rsid w:val="05E732EC"/>
    <w:rsid w:val="069845E6"/>
    <w:rsid w:val="06AD62E4"/>
    <w:rsid w:val="0710194F"/>
    <w:rsid w:val="07AF7E3A"/>
    <w:rsid w:val="07DD7FAB"/>
    <w:rsid w:val="084542FA"/>
    <w:rsid w:val="08AE1E9F"/>
    <w:rsid w:val="08BF22FE"/>
    <w:rsid w:val="09412090"/>
    <w:rsid w:val="095011A8"/>
    <w:rsid w:val="0A6749FB"/>
    <w:rsid w:val="0A870BFA"/>
    <w:rsid w:val="0AA07F0D"/>
    <w:rsid w:val="0AC80E2A"/>
    <w:rsid w:val="0AEE6ECB"/>
    <w:rsid w:val="0B1059FF"/>
    <w:rsid w:val="0B4357EB"/>
    <w:rsid w:val="0BD065D0"/>
    <w:rsid w:val="0C087B18"/>
    <w:rsid w:val="0C1D36C2"/>
    <w:rsid w:val="0C4072B2"/>
    <w:rsid w:val="0CA830A9"/>
    <w:rsid w:val="0CFD0CA4"/>
    <w:rsid w:val="0D696CDD"/>
    <w:rsid w:val="0D847672"/>
    <w:rsid w:val="0E1B7FD7"/>
    <w:rsid w:val="0E545297"/>
    <w:rsid w:val="0E567261"/>
    <w:rsid w:val="0EAE0E4B"/>
    <w:rsid w:val="0EC248F6"/>
    <w:rsid w:val="0F8A33E0"/>
    <w:rsid w:val="0FDA17CC"/>
    <w:rsid w:val="0FFF7FE3"/>
    <w:rsid w:val="108A4FA0"/>
    <w:rsid w:val="10FB5E9E"/>
    <w:rsid w:val="1109680C"/>
    <w:rsid w:val="11FF923D"/>
    <w:rsid w:val="12897505"/>
    <w:rsid w:val="12B02CB8"/>
    <w:rsid w:val="12F157AA"/>
    <w:rsid w:val="13390EFF"/>
    <w:rsid w:val="13545F18"/>
    <w:rsid w:val="13685340"/>
    <w:rsid w:val="13B3480E"/>
    <w:rsid w:val="14074B59"/>
    <w:rsid w:val="141D612B"/>
    <w:rsid w:val="1424570B"/>
    <w:rsid w:val="14293506"/>
    <w:rsid w:val="14551D69"/>
    <w:rsid w:val="149B46BF"/>
    <w:rsid w:val="150B2427"/>
    <w:rsid w:val="15211C4B"/>
    <w:rsid w:val="155838BF"/>
    <w:rsid w:val="155B33AF"/>
    <w:rsid w:val="15F788A4"/>
    <w:rsid w:val="15FD4466"/>
    <w:rsid w:val="16175528"/>
    <w:rsid w:val="16273291"/>
    <w:rsid w:val="16B20DAC"/>
    <w:rsid w:val="16CD3E38"/>
    <w:rsid w:val="16F94C2D"/>
    <w:rsid w:val="172779EC"/>
    <w:rsid w:val="17487F47"/>
    <w:rsid w:val="17516817"/>
    <w:rsid w:val="17680005"/>
    <w:rsid w:val="17C57205"/>
    <w:rsid w:val="17DB4333"/>
    <w:rsid w:val="17E458DD"/>
    <w:rsid w:val="18616F2E"/>
    <w:rsid w:val="1A3E13E6"/>
    <w:rsid w:val="1A4F3871"/>
    <w:rsid w:val="1AD42D15"/>
    <w:rsid w:val="1B1E57B6"/>
    <w:rsid w:val="1B590390"/>
    <w:rsid w:val="1BCA3C71"/>
    <w:rsid w:val="1C13053F"/>
    <w:rsid w:val="1C4F4089"/>
    <w:rsid w:val="1C9F558A"/>
    <w:rsid w:val="1CD04682"/>
    <w:rsid w:val="1CF85987"/>
    <w:rsid w:val="1D756FD8"/>
    <w:rsid w:val="1DAA4ED3"/>
    <w:rsid w:val="1E2C58E8"/>
    <w:rsid w:val="1E42510C"/>
    <w:rsid w:val="1E786D7F"/>
    <w:rsid w:val="1E85149C"/>
    <w:rsid w:val="1EBF0105"/>
    <w:rsid w:val="1EDF295B"/>
    <w:rsid w:val="1F27D8B3"/>
    <w:rsid w:val="1F992D72"/>
    <w:rsid w:val="203C516F"/>
    <w:rsid w:val="20D67D8D"/>
    <w:rsid w:val="210B3EDB"/>
    <w:rsid w:val="214967B1"/>
    <w:rsid w:val="21BA0C03"/>
    <w:rsid w:val="21CD4909"/>
    <w:rsid w:val="22721D38"/>
    <w:rsid w:val="22E744D4"/>
    <w:rsid w:val="23B56380"/>
    <w:rsid w:val="23C613FF"/>
    <w:rsid w:val="23CB7951"/>
    <w:rsid w:val="23D34A58"/>
    <w:rsid w:val="23FA0237"/>
    <w:rsid w:val="25E60A73"/>
    <w:rsid w:val="26061AFB"/>
    <w:rsid w:val="262D48F3"/>
    <w:rsid w:val="26445799"/>
    <w:rsid w:val="27595274"/>
    <w:rsid w:val="277E56B2"/>
    <w:rsid w:val="27AF0E2D"/>
    <w:rsid w:val="287506DA"/>
    <w:rsid w:val="29272FC4"/>
    <w:rsid w:val="29437F8A"/>
    <w:rsid w:val="294C2449"/>
    <w:rsid w:val="29D357B2"/>
    <w:rsid w:val="2A3D0E7D"/>
    <w:rsid w:val="2A5E32CD"/>
    <w:rsid w:val="2B0227B4"/>
    <w:rsid w:val="2B496393"/>
    <w:rsid w:val="2BE710A1"/>
    <w:rsid w:val="2C4B41E1"/>
    <w:rsid w:val="2C4D184B"/>
    <w:rsid w:val="2C7EE908"/>
    <w:rsid w:val="2CD0422B"/>
    <w:rsid w:val="2D687628"/>
    <w:rsid w:val="2DE81100"/>
    <w:rsid w:val="2E114AFB"/>
    <w:rsid w:val="2E3F6F72"/>
    <w:rsid w:val="2E821554"/>
    <w:rsid w:val="2EA149C8"/>
    <w:rsid w:val="2EBF7D57"/>
    <w:rsid w:val="2EF7F922"/>
    <w:rsid w:val="2F3E547B"/>
    <w:rsid w:val="2F7DCE9A"/>
    <w:rsid w:val="2FBD0A5E"/>
    <w:rsid w:val="300C7AC8"/>
    <w:rsid w:val="304B058A"/>
    <w:rsid w:val="30823A8E"/>
    <w:rsid w:val="30DA7426"/>
    <w:rsid w:val="311741D6"/>
    <w:rsid w:val="31B639EF"/>
    <w:rsid w:val="32007F04"/>
    <w:rsid w:val="32C91500"/>
    <w:rsid w:val="32C942A3"/>
    <w:rsid w:val="3361798A"/>
    <w:rsid w:val="34257D26"/>
    <w:rsid w:val="34F211E2"/>
    <w:rsid w:val="35F20D6E"/>
    <w:rsid w:val="36407D2B"/>
    <w:rsid w:val="36D6243D"/>
    <w:rsid w:val="36D90137"/>
    <w:rsid w:val="372B2789"/>
    <w:rsid w:val="37B409D1"/>
    <w:rsid w:val="38216D2F"/>
    <w:rsid w:val="383C09C6"/>
    <w:rsid w:val="384605D4"/>
    <w:rsid w:val="3848736B"/>
    <w:rsid w:val="38653A79"/>
    <w:rsid w:val="38B50FB2"/>
    <w:rsid w:val="39221865"/>
    <w:rsid w:val="39706B79"/>
    <w:rsid w:val="39A44657"/>
    <w:rsid w:val="39CCCDD7"/>
    <w:rsid w:val="39D67311"/>
    <w:rsid w:val="3AE50EA1"/>
    <w:rsid w:val="3B031318"/>
    <w:rsid w:val="3B57672C"/>
    <w:rsid w:val="3BD11425"/>
    <w:rsid w:val="3BFF1C10"/>
    <w:rsid w:val="3C005CDF"/>
    <w:rsid w:val="3C073099"/>
    <w:rsid w:val="3C153A08"/>
    <w:rsid w:val="3C4D31A2"/>
    <w:rsid w:val="3C4F6F1A"/>
    <w:rsid w:val="3CDA1D68"/>
    <w:rsid w:val="3CE533DA"/>
    <w:rsid w:val="3D112421"/>
    <w:rsid w:val="3D25474F"/>
    <w:rsid w:val="3D2E2FD3"/>
    <w:rsid w:val="3D402EDB"/>
    <w:rsid w:val="3D430101"/>
    <w:rsid w:val="3D9A2417"/>
    <w:rsid w:val="3D9B7F3D"/>
    <w:rsid w:val="3DEB2C72"/>
    <w:rsid w:val="3E0E4BB3"/>
    <w:rsid w:val="3E2E07CC"/>
    <w:rsid w:val="3E3C1720"/>
    <w:rsid w:val="3E5470BC"/>
    <w:rsid w:val="3E676D1C"/>
    <w:rsid w:val="3EBB0897"/>
    <w:rsid w:val="3EBFBCA5"/>
    <w:rsid w:val="3EE002FD"/>
    <w:rsid w:val="3EEFAE5E"/>
    <w:rsid w:val="3EF508F9"/>
    <w:rsid w:val="3F15070B"/>
    <w:rsid w:val="3F165ACD"/>
    <w:rsid w:val="3F3441A5"/>
    <w:rsid w:val="3F542A99"/>
    <w:rsid w:val="3F566811"/>
    <w:rsid w:val="3F7B055F"/>
    <w:rsid w:val="3F8073EA"/>
    <w:rsid w:val="3F828267"/>
    <w:rsid w:val="3FCE45FA"/>
    <w:rsid w:val="3FF40477"/>
    <w:rsid w:val="3FFB6797"/>
    <w:rsid w:val="3FFB898E"/>
    <w:rsid w:val="40526FD9"/>
    <w:rsid w:val="409969B6"/>
    <w:rsid w:val="4109180B"/>
    <w:rsid w:val="412154D7"/>
    <w:rsid w:val="413969A6"/>
    <w:rsid w:val="41BE244C"/>
    <w:rsid w:val="41C51A2C"/>
    <w:rsid w:val="421B789E"/>
    <w:rsid w:val="422C0E20"/>
    <w:rsid w:val="428611BC"/>
    <w:rsid w:val="42C35F6C"/>
    <w:rsid w:val="42DA1507"/>
    <w:rsid w:val="43335191"/>
    <w:rsid w:val="433B2D12"/>
    <w:rsid w:val="43615785"/>
    <w:rsid w:val="4369BA68"/>
    <w:rsid w:val="43A22025"/>
    <w:rsid w:val="43CD6976"/>
    <w:rsid w:val="43D441A9"/>
    <w:rsid w:val="441E71D2"/>
    <w:rsid w:val="44875C1C"/>
    <w:rsid w:val="44B95D89"/>
    <w:rsid w:val="46BA1434"/>
    <w:rsid w:val="47694C08"/>
    <w:rsid w:val="47B916EB"/>
    <w:rsid w:val="482F7BFF"/>
    <w:rsid w:val="49553696"/>
    <w:rsid w:val="49C03205"/>
    <w:rsid w:val="49E35145"/>
    <w:rsid w:val="49F70BF1"/>
    <w:rsid w:val="4A835FE1"/>
    <w:rsid w:val="4AF64A04"/>
    <w:rsid w:val="4B4E65EF"/>
    <w:rsid w:val="4C5335FA"/>
    <w:rsid w:val="4C85574F"/>
    <w:rsid w:val="4C885B30"/>
    <w:rsid w:val="4CD64AED"/>
    <w:rsid w:val="4CF2277F"/>
    <w:rsid w:val="4E6B74B7"/>
    <w:rsid w:val="4ECF7A46"/>
    <w:rsid w:val="502E0428"/>
    <w:rsid w:val="504B2837"/>
    <w:rsid w:val="508909B8"/>
    <w:rsid w:val="50A70C7B"/>
    <w:rsid w:val="51A60F32"/>
    <w:rsid w:val="51D33CF1"/>
    <w:rsid w:val="535A6032"/>
    <w:rsid w:val="542C7F69"/>
    <w:rsid w:val="54373CC8"/>
    <w:rsid w:val="545F361A"/>
    <w:rsid w:val="552A00CC"/>
    <w:rsid w:val="557270A6"/>
    <w:rsid w:val="56260894"/>
    <w:rsid w:val="567C04B4"/>
    <w:rsid w:val="568B06F7"/>
    <w:rsid w:val="569A6B8C"/>
    <w:rsid w:val="56BC37B6"/>
    <w:rsid w:val="57BECBE9"/>
    <w:rsid w:val="57BFC7A7"/>
    <w:rsid w:val="57CFEA30"/>
    <w:rsid w:val="59064A37"/>
    <w:rsid w:val="59481893"/>
    <w:rsid w:val="597C762B"/>
    <w:rsid w:val="59A07DF9"/>
    <w:rsid w:val="5A2570B4"/>
    <w:rsid w:val="5A364E1D"/>
    <w:rsid w:val="5A5D684E"/>
    <w:rsid w:val="5AA47FD9"/>
    <w:rsid w:val="5B7F5C33"/>
    <w:rsid w:val="5B937241"/>
    <w:rsid w:val="5BDB30FF"/>
    <w:rsid w:val="5BEABBC1"/>
    <w:rsid w:val="5C2238AB"/>
    <w:rsid w:val="5C97946C"/>
    <w:rsid w:val="5CFD1C22"/>
    <w:rsid w:val="5D184CAE"/>
    <w:rsid w:val="5D5A7075"/>
    <w:rsid w:val="5E79177D"/>
    <w:rsid w:val="5F2416E8"/>
    <w:rsid w:val="5F6B37BB"/>
    <w:rsid w:val="5F812FDF"/>
    <w:rsid w:val="5FA77B07"/>
    <w:rsid w:val="5FCBA1A3"/>
    <w:rsid w:val="5FCEC054"/>
    <w:rsid w:val="5FF5BDB0"/>
    <w:rsid w:val="60BE0631"/>
    <w:rsid w:val="60F9440F"/>
    <w:rsid w:val="615F10FE"/>
    <w:rsid w:val="61677FB2"/>
    <w:rsid w:val="617821BF"/>
    <w:rsid w:val="61DE0C4E"/>
    <w:rsid w:val="62361E5F"/>
    <w:rsid w:val="62E95123"/>
    <w:rsid w:val="6361115D"/>
    <w:rsid w:val="63D062E3"/>
    <w:rsid w:val="63DC73A4"/>
    <w:rsid w:val="6414246E"/>
    <w:rsid w:val="64236413"/>
    <w:rsid w:val="645933A7"/>
    <w:rsid w:val="64B259E8"/>
    <w:rsid w:val="64B51F64"/>
    <w:rsid w:val="65075D34"/>
    <w:rsid w:val="65562818"/>
    <w:rsid w:val="6582360D"/>
    <w:rsid w:val="663C1C28"/>
    <w:rsid w:val="663F14FE"/>
    <w:rsid w:val="66D94DA6"/>
    <w:rsid w:val="66ECA8F2"/>
    <w:rsid w:val="66F61BBC"/>
    <w:rsid w:val="67401089"/>
    <w:rsid w:val="680447AD"/>
    <w:rsid w:val="6852376A"/>
    <w:rsid w:val="685E3EBD"/>
    <w:rsid w:val="687E630D"/>
    <w:rsid w:val="691850D2"/>
    <w:rsid w:val="69366C16"/>
    <w:rsid w:val="69CE5072"/>
    <w:rsid w:val="69F44661"/>
    <w:rsid w:val="6ADC37BF"/>
    <w:rsid w:val="6B346F5D"/>
    <w:rsid w:val="6B4D1FC7"/>
    <w:rsid w:val="6B65AFF6"/>
    <w:rsid w:val="6B851761"/>
    <w:rsid w:val="6BB64010"/>
    <w:rsid w:val="6BB67B6C"/>
    <w:rsid w:val="6BF07522"/>
    <w:rsid w:val="6CD56718"/>
    <w:rsid w:val="6CD72490"/>
    <w:rsid w:val="6CFC1EF7"/>
    <w:rsid w:val="6D0D5EB2"/>
    <w:rsid w:val="6D512242"/>
    <w:rsid w:val="6D5C2995"/>
    <w:rsid w:val="6DA46816"/>
    <w:rsid w:val="6DBE64B8"/>
    <w:rsid w:val="6DBF2F81"/>
    <w:rsid w:val="6E4E6782"/>
    <w:rsid w:val="6E930639"/>
    <w:rsid w:val="6EF410D7"/>
    <w:rsid w:val="6F082DD5"/>
    <w:rsid w:val="6F184A7E"/>
    <w:rsid w:val="6F5222A2"/>
    <w:rsid w:val="6F5E60A5"/>
    <w:rsid w:val="6FB72105"/>
    <w:rsid w:val="6FC54822"/>
    <w:rsid w:val="6FFB7048"/>
    <w:rsid w:val="6FFF43B9"/>
    <w:rsid w:val="70883186"/>
    <w:rsid w:val="70D552E7"/>
    <w:rsid w:val="71025602"/>
    <w:rsid w:val="719426FE"/>
    <w:rsid w:val="71F238C8"/>
    <w:rsid w:val="72516841"/>
    <w:rsid w:val="72710C91"/>
    <w:rsid w:val="72CE60E3"/>
    <w:rsid w:val="736A5E0C"/>
    <w:rsid w:val="73967419"/>
    <w:rsid w:val="73AF2DAD"/>
    <w:rsid w:val="73CFC0E1"/>
    <w:rsid w:val="73F31644"/>
    <w:rsid w:val="74485A21"/>
    <w:rsid w:val="7533222E"/>
    <w:rsid w:val="755D2DDF"/>
    <w:rsid w:val="756C16EA"/>
    <w:rsid w:val="759A22AD"/>
    <w:rsid w:val="75AF81DA"/>
    <w:rsid w:val="76051E1C"/>
    <w:rsid w:val="7625426C"/>
    <w:rsid w:val="76391AC6"/>
    <w:rsid w:val="76C9109B"/>
    <w:rsid w:val="77257426"/>
    <w:rsid w:val="77361421"/>
    <w:rsid w:val="777A4144"/>
    <w:rsid w:val="77980A6E"/>
    <w:rsid w:val="77DF6EC4"/>
    <w:rsid w:val="77FF5512"/>
    <w:rsid w:val="78212811"/>
    <w:rsid w:val="785F0FC1"/>
    <w:rsid w:val="78872FBC"/>
    <w:rsid w:val="78B62894"/>
    <w:rsid w:val="78F63854"/>
    <w:rsid w:val="790A4634"/>
    <w:rsid w:val="79773031"/>
    <w:rsid w:val="7997B73B"/>
    <w:rsid w:val="79E13D7A"/>
    <w:rsid w:val="7A460C55"/>
    <w:rsid w:val="7A4647B1"/>
    <w:rsid w:val="7A6D4434"/>
    <w:rsid w:val="7AB367C2"/>
    <w:rsid w:val="7ADC5285"/>
    <w:rsid w:val="7AF7B6F2"/>
    <w:rsid w:val="7B74128F"/>
    <w:rsid w:val="7BAB0D70"/>
    <w:rsid w:val="7BB62907"/>
    <w:rsid w:val="7BDFDAD4"/>
    <w:rsid w:val="7BFFF1BF"/>
    <w:rsid w:val="7C0E12FE"/>
    <w:rsid w:val="7C11382C"/>
    <w:rsid w:val="7C134B67"/>
    <w:rsid w:val="7C1C7EBF"/>
    <w:rsid w:val="7CE704CD"/>
    <w:rsid w:val="7D774583"/>
    <w:rsid w:val="7D7DD2E0"/>
    <w:rsid w:val="7D9BFD34"/>
    <w:rsid w:val="7DCF73D4"/>
    <w:rsid w:val="7DDF5517"/>
    <w:rsid w:val="7DF5C7D1"/>
    <w:rsid w:val="7E3314F0"/>
    <w:rsid w:val="7E3D8E8E"/>
    <w:rsid w:val="7E6B2A38"/>
    <w:rsid w:val="7E8E6727"/>
    <w:rsid w:val="7EDEFEC5"/>
    <w:rsid w:val="7F606380"/>
    <w:rsid w:val="7F881D42"/>
    <w:rsid w:val="7FBE7D16"/>
    <w:rsid w:val="7FBEF0E9"/>
    <w:rsid w:val="7FBF3B7A"/>
    <w:rsid w:val="7FE5AFD2"/>
    <w:rsid w:val="7FF8479F"/>
    <w:rsid w:val="7FFDC825"/>
    <w:rsid w:val="7FFF17F5"/>
    <w:rsid w:val="7FFFEEC9"/>
    <w:rsid w:val="93FF64E4"/>
    <w:rsid w:val="97FFD8D0"/>
    <w:rsid w:val="9D721D1D"/>
    <w:rsid w:val="9F3420B8"/>
    <w:rsid w:val="9F6DD707"/>
    <w:rsid w:val="AB1D7A1F"/>
    <w:rsid w:val="AFCFF4DE"/>
    <w:rsid w:val="B2F6B601"/>
    <w:rsid w:val="B44D89E5"/>
    <w:rsid w:val="B6FF5D7C"/>
    <w:rsid w:val="B73FB49B"/>
    <w:rsid w:val="B9ED7952"/>
    <w:rsid w:val="BB7FACED"/>
    <w:rsid w:val="BCEF2CC8"/>
    <w:rsid w:val="BDBDE1F3"/>
    <w:rsid w:val="BDE7B48B"/>
    <w:rsid w:val="BDFC05BA"/>
    <w:rsid w:val="BE6F581A"/>
    <w:rsid w:val="BEB73463"/>
    <w:rsid w:val="BEFF3BFB"/>
    <w:rsid w:val="BF5F67D2"/>
    <w:rsid w:val="BFD743D2"/>
    <w:rsid w:val="BFF7BFF3"/>
    <w:rsid w:val="C3FE21B7"/>
    <w:rsid w:val="CCFF6DB0"/>
    <w:rsid w:val="CF3DFAC3"/>
    <w:rsid w:val="D2FF8621"/>
    <w:rsid w:val="D3D6D8B3"/>
    <w:rsid w:val="D7AC1DCF"/>
    <w:rsid w:val="DCBF4195"/>
    <w:rsid w:val="DD3D48EB"/>
    <w:rsid w:val="DF76E0E8"/>
    <w:rsid w:val="DFBFA286"/>
    <w:rsid w:val="DFD7E448"/>
    <w:rsid w:val="DFFD9E9D"/>
    <w:rsid w:val="E67525FA"/>
    <w:rsid w:val="EABB0F52"/>
    <w:rsid w:val="EB570476"/>
    <w:rsid w:val="EBF6BFA9"/>
    <w:rsid w:val="ECFF88C3"/>
    <w:rsid w:val="EED16B46"/>
    <w:rsid w:val="EEF39AD4"/>
    <w:rsid w:val="EFDB2447"/>
    <w:rsid w:val="F32D235D"/>
    <w:rsid w:val="F4BDBA6F"/>
    <w:rsid w:val="F5FC1999"/>
    <w:rsid w:val="F7586AAA"/>
    <w:rsid w:val="F75D45B6"/>
    <w:rsid w:val="F7EED874"/>
    <w:rsid w:val="F7F72D88"/>
    <w:rsid w:val="F7FAA2D6"/>
    <w:rsid w:val="F9DDEC77"/>
    <w:rsid w:val="F9FF070A"/>
    <w:rsid w:val="F9FF5D1D"/>
    <w:rsid w:val="FA57AD6F"/>
    <w:rsid w:val="FB7EE12D"/>
    <w:rsid w:val="FBDF12EC"/>
    <w:rsid w:val="FBF1B4DC"/>
    <w:rsid w:val="FBFF488B"/>
    <w:rsid w:val="FF3B5FCB"/>
    <w:rsid w:val="FF76C226"/>
    <w:rsid w:val="FFB73589"/>
    <w:rsid w:val="FFBB1DC0"/>
    <w:rsid w:val="FFD5558D"/>
    <w:rsid w:val="FFF5F206"/>
    <w:rsid w:val="FFFFB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firstLineChars="200"/>
    </w:pPr>
    <w:rPr>
      <w:rFonts w:ascii="Times New Roman" w:hAnsi="Times New Roman" w:eastAsia="Century Gothic" w:cs="Times New Roman"/>
      <w:color w:val="000000"/>
      <w:szCs w:val="24"/>
      <w:lang w:eastAsia="en-US" w:bidi="en-US"/>
    </w:rPr>
  </w:style>
  <w:style w:type="paragraph" w:styleId="3">
    <w:name w:val="Body Text Indent"/>
    <w:basedOn w:val="1"/>
    <w:qFormat/>
    <w:uiPriority w:val="0"/>
    <w:pPr>
      <w:spacing w:line="500" w:lineRule="exact"/>
      <w:ind w:left="1588" w:leftChars="832" w:firstLine="433" w:firstLineChars="196"/>
    </w:pPr>
  </w:style>
  <w:style w:type="paragraph" w:styleId="4">
    <w:name w:val="Body Text First Indent"/>
    <w:basedOn w:val="5"/>
    <w:qFormat/>
    <w:uiPriority w:val="0"/>
    <w:pPr>
      <w:ind w:firstLine="420" w:firstLineChars="100"/>
    </w:pPr>
    <w:rPr>
      <w:rFonts w:hAnsi="Times New Roman" w:eastAsia="Times New Roman" w:cs="Times New Roman"/>
      <w:color w:val="000000"/>
      <w:sz w:val="24"/>
      <w:szCs w:val="24"/>
      <w:lang w:eastAsia="en-US" w:bidi="en-US"/>
    </w:rPr>
  </w:style>
  <w:style w:type="paragraph" w:styleId="5">
    <w:name w:val="Body Text"/>
    <w:basedOn w:val="1"/>
    <w:qFormat/>
    <w:uiPriority w:val="0"/>
    <w:pPr>
      <w:widowControl w:val="0"/>
      <w:kinsoku/>
      <w:autoSpaceDE/>
      <w:autoSpaceDN/>
      <w:adjustRightInd/>
      <w:snapToGrid/>
      <w:jc w:val="both"/>
      <w:textAlignment w:val="auto"/>
    </w:pPr>
    <w:rPr>
      <w:rFonts w:ascii="Times New Roman" w:hAnsi="Times New Roman" w:eastAsia="宋体" w:cs="Times New Roman"/>
      <w:snapToGrid/>
      <w:color w:val="auto"/>
      <w:kern w:val="2"/>
      <w:szCs w:val="24"/>
    </w:rPr>
  </w:style>
  <w:style w:type="paragraph" w:styleId="8">
    <w:name w:val="Balloon Text"/>
    <w:basedOn w:val="1"/>
    <w:qFormat/>
    <w:uiPriority w:val="0"/>
    <w:rPr>
      <w:rFonts w:ascii="Times New Roman" w:hAnsi="Times New Roman"/>
      <w:sz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3957</Words>
  <Characters>4003</Characters>
  <Lines>0</Lines>
  <Paragraphs>0</Paragraphs>
  <TotalTime>10</TotalTime>
  <ScaleCrop>false</ScaleCrop>
  <LinksUpToDate>false</LinksUpToDate>
  <CharactersWithSpaces>4287</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2022-07-01T21:52:00Z</dcterms:created>
  <dc:creator>李小刚</dc:creator>
  <cp:lastModifiedBy>user</cp:lastModifiedBy>
  <cp:lastPrinted>2023-03-03T01:24:00Z</cp:lastPrinted>
  <dcterms:modified xsi:type="dcterms:W3CDTF">2024-06-28T16:56:59Z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684774665478472389A3142466BF6AC4</vt:lpwstr>
  </property>
</Properties>
</file>