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sz w:val="44"/>
          <w:szCs w:val="44"/>
        </w:rPr>
      </w:pPr>
      <w:r>
        <w:rPr>
          <w:rFonts w:hint="eastAsia" w:ascii="方正小标宋简体" w:eastAsia="方正小标宋简体"/>
          <w:sz w:val="44"/>
          <w:szCs w:val="44"/>
        </w:rPr>
        <w:t>聊城市商务和投资促进局2021年政府信息公开工作年度报告</w:t>
      </w:r>
    </w:p>
    <w:p>
      <w:pPr>
        <w:snapToGrid w:val="0"/>
        <w:ind w:firstLine="707" w:firstLineChars="221"/>
        <w:rPr>
          <w:rFonts w:hint="eastAsia" w:ascii="仿宋_GB2312" w:eastAsia="仿宋_GB2312"/>
          <w:sz w:val="32"/>
          <w:szCs w:val="32"/>
        </w:rPr>
      </w:pPr>
      <w:r>
        <w:rPr>
          <w:rFonts w:hint="eastAsia" w:ascii="仿宋_GB2312" w:eastAsia="仿宋_GB2312"/>
          <w:sz w:val="32"/>
          <w:szCs w:val="32"/>
        </w:rPr>
        <w:t>本年度报告根据《中华人民共和国政府信息公开条例》（以下简称《政府信息公开条例》）编制。全文内容包括总体情况、主动公开政府信息情况、收到和处理政府信息公开申请情况、政府信息公开行政复议和行政诉讼情况、存在的主要问题及改进情况、其他需要报告的事项等六个部分。报告中所列数据统计期限为2021年1月1日至2021年12月31日。如对报告有疑问，请与聊城市商务和投资促进局办公室联系（地址：聊城市卫育路6号，邮政编码：252000，联系电话：0635-21192</w:t>
      </w:r>
      <w:r>
        <w:rPr>
          <w:rFonts w:hint="eastAsia" w:ascii="仿宋_GB2312" w:eastAsia="仿宋_GB2312"/>
          <w:sz w:val="32"/>
          <w:szCs w:val="32"/>
          <w:lang w:val="en-US" w:eastAsia="zh-CN"/>
        </w:rPr>
        <w:t>2</w:t>
      </w:r>
      <w:bookmarkStart w:id="0" w:name="_GoBack"/>
      <w:bookmarkEnd w:id="0"/>
      <w:r>
        <w:rPr>
          <w:rFonts w:hint="eastAsia" w:ascii="仿宋_GB2312" w:eastAsia="仿宋_GB2312"/>
          <w:sz w:val="32"/>
          <w:szCs w:val="32"/>
        </w:rPr>
        <w:t>8，传真0635-2119268，电子邮箱：lcsswjbgs@lc.shandong.cn）。</w:t>
      </w:r>
    </w:p>
    <w:p>
      <w:pPr>
        <w:snapToGrid w:val="0"/>
        <w:ind w:firstLine="707" w:firstLineChars="221"/>
        <w:rPr>
          <w:rFonts w:hint="eastAsia" w:ascii="仿宋_GB2312" w:eastAsia="仿宋_GB2312"/>
          <w:sz w:val="32"/>
          <w:szCs w:val="32"/>
        </w:rPr>
      </w:pPr>
      <w:r>
        <w:rPr>
          <w:rFonts w:hint="eastAsia" w:ascii="仿宋_GB2312" w:eastAsia="仿宋_GB2312"/>
          <w:sz w:val="32"/>
          <w:szCs w:val="32"/>
        </w:rPr>
        <w:t>一、总体情况</w:t>
      </w:r>
    </w:p>
    <w:p>
      <w:pPr>
        <w:snapToGrid w:val="0"/>
        <w:ind w:firstLine="707" w:firstLineChars="221"/>
        <w:rPr>
          <w:rFonts w:hint="eastAsia" w:ascii="仿宋_GB2312" w:eastAsia="仿宋_GB2312"/>
          <w:sz w:val="32"/>
          <w:szCs w:val="32"/>
        </w:rPr>
      </w:pPr>
      <w:r>
        <w:rPr>
          <w:rFonts w:hint="eastAsia" w:ascii="仿宋_GB2312" w:eastAsia="仿宋_GB2312"/>
          <w:sz w:val="32"/>
          <w:szCs w:val="32"/>
        </w:rPr>
        <w:t>2021年，聊城市商务和投资促进局按照《政府信息公开条例》和市政府办公室《关于印发2021年政务公开工作要点的通知》要求，深入贯彻落实中央及省委省政府关于政府信息公开工作的部署，全面参照《政府信息公开条例》开展工作，局政务公开工作领导小组持续关注政府信息公开工作开展进度，加强工作台账化管理，深化完善监督提醒机制，积极强化政务公开工作队伍建设，健全建强标准规范体系，切实落实好政府信息公开主体责任。</w:t>
      </w:r>
    </w:p>
    <w:p>
      <w:pPr>
        <w:snapToGrid w:val="0"/>
        <w:ind w:firstLine="707" w:firstLineChars="221"/>
        <w:rPr>
          <w:rFonts w:hint="eastAsia" w:ascii="仿宋_GB2312" w:eastAsia="仿宋_GB2312"/>
          <w:sz w:val="32"/>
          <w:szCs w:val="32"/>
        </w:rPr>
      </w:pPr>
      <w:r>
        <w:rPr>
          <w:rFonts w:hint="eastAsia" w:ascii="仿宋_GB2312" w:eastAsia="仿宋_GB2312"/>
          <w:sz w:val="32"/>
          <w:szCs w:val="32"/>
        </w:rPr>
        <w:t xml:space="preserve">(一)主动公开情况。截至2021年12月底，我局依托市政府信息公开网站主动公开政府信息104条，局网站发布信息287条，头条号发布信息181条。市民通过关注“聊城商务投资促进局”头条号，及时了解我局商务新闻、政务服务、互动交流等方面信息，切实满足群众对政府信息的获取需求。强化人大建议和政协提案的办理结果公开。2021年市商务投资促进局共办理市十七届人大四次会议人大建议14件，市十三届政协四次会议政协提案14件。做到了及时、准确，办结率为100%，满意率为100%，办理情况全部在市政府政务公开网站进行公开。 </w:t>
      </w:r>
    </w:p>
    <w:p>
      <w:pPr>
        <w:snapToGrid w:val="0"/>
        <w:ind w:firstLine="707" w:firstLineChars="221"/>
        <w:rPr>
          <w:rFonts w:hint="eastAsia" w:ascii="仿宋_GB2312" w:eastAsia="仿宋_GB2312"/>
          <w:sz w:val="32"/>
          <w:szCs w:val="32"/>
        </w:rPr>
      </w:pPr>
      <w:r>
        <w:rPr>
          <w:rFonts w:hint="eastAsia" w:ascii="仿宋_GB2312" w:eastAsia="仿宋_GB2312"/>
          <w:sz w:val="32"/>
          <w:szCs w:val="32"/>
        </w:rPr>
        <w:t xml:space="preserve">（二）做好依申请公开答复。2021年，市商务投资促进局共收到政府信息公开申请2件，从答复情况看，予以公开2件，答复率100%。 </w:t>
      </w:r>
    </w:p>
    <w:p>
      <w:pPr>
        <w:snapToGrid w:val="0"/>
        <w:ind w:firstLine="707" w:firstLineChars="221"/>
        <w:rPr>
          <w:rFonts w:hint="eastAsia" w:ascii="仿宋_GB2312" w:eastAsia="仿宋_GB2312"/>
          <w:sz w:val="32"/>
          <w:szCs w:val="32"/>
        </w:rPr>
      </w:pPr>
      <w:r>
        <w:rPr>
          <w:rFonts w:hint="eastAsia" w:ascii="仿宋_GB2312" w:eastAsia="仿宋_GB2312"/>
          <w:sz w:val="32"/>
          <w:szCs w:val="32"/>
        </w:rPr>
        <w:t>（三）加强政府信息管理。坚持“全员抓公开”的思路，对政府信息公开工作实行统一要求、统一管理，明确办公室专人负责，信息中心保障支撑，各科室、各直属单位确定具体负责人，通过督查督办、电话调度等形式，加强对全市市场监管系统任务落实情况的调度检查，实现了信息公开全市市场监管系统“一盘棋”，确保信息公开工作有序、规范开展。</w:t>
      </w:r>
    </w:p>
    <w:p>
      <w:pPr>
        <w:snapToGrid w:val="0"/>
        <w:ind w:firstLine="707" w:firstLineChars="221"/>
        <w:rPr>
          <w:rFonts w:hint="eastAsia" w:ascii="仿宋_GB2312" w:eastAsia="仿宋_GB2312"/>
          <w:sz w:val="32"/>
          <w:szCs w:val="32"/>
        </w:rPr>
      </w:pPr>
      <w:r>
        <w:rPr>
          <w:rFonts w:hint="eastAsia" w:ascii="仿宋_GB2312" w:eastAsia="仿宋_GB2312"/>
          <w:sz w:val="32"/>
          <w:szCs w:val="32"/>
        </w:rPr>
        <w:t>（四）加强公开平台建设。加强本单位网站政府信息公开、工作动态、通知公告、统计数据等栏目的审核发布，做好日常巡查和重要节假日网站技术值守管理，严防安全、泄密、无效链接等问题。按要求做好各类栏目信息发布频率管理工作，确保网站信息发布内容准确、格式规范，并积极利用新媒体，通过头条号及时发布政府信息。</w:t>
      </w:r>
    </w:p>
    <w:p>
      <w:pPr>
        <w:snapToGrid w:val="0"/>
        <w:ind w:firstLine="707" w:firstLineChars="221"/>
        <w:rPr>
          <w:rFonts w:hint="eastAsia" w:ascii="仿宋_GB2312" w:eastAsia="仿宋_GB2312"/>
          <w:sz w:val="32"/>
          <w:szCs w:val="32"/>
        </w:rPr>
      </w:pPr>
      <w:r>
        <w:rPr>
          <w:rFonts w:hint="eastAsia" w:ascii="仿宋_GB2312" w:eastAsia="仿宋_GB2312"/>
          <w:sz w:val="32"/>
          <w:szCs w:val="32"/>
        </w:rPr>
        <w:t>（五）强化监督保障机制。认真贯彻落实新修订的《中华人民共和国政府信息公开条例》，政府信息公开工作人员多次专题学习新条例，派员参加市政府组织的政务公开工作培训，掌握新条例法定条文和时点时限要求，完善内部处置流转机制，确保各项规定落到实处。加强主动公开和解读回应工作、推进政务公开平台建设及提高政务公开制度化规范化水平等方面对政务公开工作提出要求，明确责任部门和负责人，按职能职责把好关，确保公开信息的准确性、时效性、完整性。</w:t>
      </w:r>
    </w:p>
    <w:p>
      <w:pPr>
        <w:widowControl/>
        <w:shd w:val="clear" w:color="auto" w:fill="FFFFFF"/>
        <w:snapToGrid w:val="0"/>
        <w:spacing w:line="585" w:lineRule="atLeast"/>
        <w:ind w:firstLine="645"/>
        <w:jc w:val="left"/>
        <w:rPr>
          <w:rFonts w:hint="eastAsia"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二、主动公开政府信息情况</w:t>
      </w:r>
    </w:p>
    <w:tbl>
      <w:tblPr>
        <w:tblStyle w:val="6"/>
        <w:tblW w:w="5000" w:type="pct"/>
        <w:jc w:val="center"/>
        <w:tblLayout w:type="autofit"/>
        <w:tblCellMar>
          <w:top w:w="0" w:type="dxa"/>
          <w:left w:w="0" w:type="dxa"/>
          <w:bottom w:w="0" w:type="dxa"/>
          <w:right w:w="0" w:type="dxa"/>
        </w:tblCellMar>
      </w:tblPr>
      <w:tblGrid>
        <w:gridCol w:w="2465"/>
        <w:gridCol w:w="2465"/>
        <w:gridCol w:w="2465"/>
        <w:gridCol w:w="2465"/>
      </w:tblGrid>
      <w:tr>
        <w:tblPrEx>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信息内容</w:t>
            </w:r>
          </w:p>
        </w:tc>
        <w:tc>
          <w:tcPr>
            <w:tcW w:w="1250"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1250" w:type="pct"/>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本年废止件数</w:t>
            </w:r>
          </w:p>
        </w:tc>
        <w:tc>
          <w:tcPr>
            <w:tcW w:w="1250"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left"/>
            </w:pPr>
            <w:r>
              <w:rPr>
                <w:rFonts w:hint="eastAsia" w:ascii="宋体" w:hAnsi="宋体" w:cs="宋体"/>
                <w:color w:val="000000"/>
                <w:kern w:val="0"/>
                <w:sz w:val="20"/>
                <w:szCs w:val="20"/>
                <w:lang w:bidi="ar"/>
              </w:rPr>
              <w:t>规章</w:t>
            </w:r>
          </w:p>
        </w:tc>
        <w:tc>
          <w:tcPr>
            <w:tcW w:w="1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0</w:t>
            </w:r>
          </w:p>
        </w:tc>
        <w:tc>
          <w:tcPr>
            <w:tcW w:w="1250" w:type="pct"/>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0</w:t>
            </w:r>
          </w:p>
        </w:tc>
        <w:tc>
          <w:tcPr>
            <w:tcW w:w="1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cs="Calibri"/>
                <w:szCs w:val="21"/>
                <w:lang w:bidi="ar"/>
              </w:rPr>
              <w:t>0</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left"/>
            </w:pPr>
            <w:r>
              <w:rPr>
                <w:rFonts w:hint="eastAsia" w:ascii="宋体" w:hAnsi="宋体" w:cs="宋体"/>
                <w:color w:val="000000"/>
                <w:kern w:val="0"/>
                <w:sz w:val="20"/>
                <w:szCs w:val="20"/>
                <w:lang w:bidi="ar"/>
              </w:rPr>
              <w:t>行政规范性文件</w:t>
            </w:r>
          </w:p>
        </w:tc>
        <w:tc>
          <w:tcPr>
            <w:tcW w:w="1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0</w:t>
            </w:r>
          </w:p>
        </w:tc>
        <w:tc>
          <w:tcPr>
            <w:tcW w:w="1250" w:type="pct"/>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0</w:t>
            </w:r>
          </w:p>
        </w:tc>
        <w:tc>
          <w:tcPr>
            <w:tcW w:w="1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cs="Calibri"/>
                <w:szCs w:val="21"/>
                <w:lang w:bidi="ar"/>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信息内容</w:t>
            </w:r>
          </w:p>
        </w:tc>
        <w:tc>
          <w:tcPr>
            <w:tcW w:w="3750" w:type="pct"/>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left"/>
            </w:pPr>
            <w:r>
              <w:rPr>
                <w:rFonts w:hint="eastAsia" w:ascii="宋体" w:hAnsi="宋体" w:cs="宋体"/>
                <w:color w:val="000000"/>
                <w:kern w:val="0"/>
                <w:sz w:val="20"/>
                <w:szCs w:val="20"/>
                <w:lang w:bidi="ar"/>
              </w:rPr>
              <w:t>行政许可</w:t>
            </w:r>
          </w:p>
        </w:tc>
        <w:tc>
          <w:tcPr>
            <w:tcW w:w="3750" w:type="pct"/>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cs="Calibri"/>
                <w:szCs w:val="21"/>
                <w:lang w:bidi="ar"/>
              </w:rPr>
              <w:t>2</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信息内容</w:t>
            </w:r>
          </w:p>
        </w:tc>
        <w:tc>
          <w:tcPr>
            <w:tcW w:w="3750" w:type="pct"/>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left"/>
            </w:pPr>
            <w:r>
              <w:rPr>
                <w:rFonts w:hint="eastAsia" w:ascii="宋体" w:hAnsi="宋体" w:cs="宋体"/>
                <w:color w:val="000000"/>
                <w:kern w:val="0"/>
                <w:sz w:val="20"/>
                <w:szCs w:val="20"/>
                <w:lang w:bidi="ar"/>
              </w:rPr>
              <w:t>行政处罚</w:t>
            </w:r>
          </w:p>
        </w:tc>
        <w:tc>
          <w:tcPr>
            <w:tcW w:w="3750" w:type="pct"/>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left"/>
            </w:pPr>
            <w:r>
              <w:rPr>
                <w:rFonts w:hint="eastAsia" w:ascii="宋体" w:hAnsi="宋体" w:cs="宋体"/>
                <w:color w:val="000000"/>
                <w:kern w:val="0"/>
                <w:sz w:val="20"/>
                <w:szCs w:val="20"/>
                <w:lang w:bidi="ar"/>
              </w:rPr>
              <w:t>行政强制</w:t>
            </w:r>
          </w:p>
        </w:tc>
        <w:tc>
          <w:tcPr>
            <w:tcW w:w="3750" w:type="pct"/>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信息内容</w:t>
            </w:r>
          </w:p>
        </w:tc>
        <w:tc>
          <w:tcPr>
            <w:tcW w:w="3750" w:type="pct"/>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before="100" w:beforeAutospacing="1"/>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left"/>
            </w:pPr>
            <w:r>
              <w:rPr>
                <w:rFonts w:hint="eastAsia" w:ascii="宋体" w:hAnsi="宋体" w:cs="宋体"/>
                <w:color w:val="000000"/>
                <w:kern w:val="0"/>
                <w:sz w:val="20"/>
                <w:szCs w:val="20"/>
                <w:lang w:bidi="ar"/>
              </w:rPr>
              <w:t>行政事业性收费</w:t>
            </w:r>
          </w:p>
        </w:tc>
        <w:tc>
          <w:tcPr>
            <w:tcW w:w="3750" w:type="pct"/>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jc w:val="center"/>
              <w:rPr>
                <w:rFonts w:ascii="宋体"/>
                <w:sz w:val="20"/>
                <w:szCs w:val="20"/>
              </w:rPr>
            </w:pPr>
            <w:r>
              <w:rPr>
                <w:rFonts w:hint="eastAsia" w:ascii="宋体"/>
                <w:sz w:val="20"/>
                <w:szCs w:val="20"/>
              </w:rPr>
              <w:t>0</w:t>
            </w:r>
          </w:p>
        </w:tc>
      </w:tr>
    </w:tbl>
    <w:p>
      <w:pPr>
        <w:widowControl/>
        <w:shd w:val="clear" w:color="auto" w:fill="FFFFFF"/>
        <w:snapToGrid w:val="0"/>
        <w:spacing w:line="585" w:lineRule="atLeast"/>
        <w:ind w:firstLine="709"/>
        <w:jc w:val="left"/>
        <w:rPr>
          <w:rFonts w:hint="eastAsia"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三、收到和处理政府信息公开申请情况</w:t>
      </w:r>
    </w:p>
    <w:tbl>
      <w:tblPr>
        <w:tblStyle w:val="6"/>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57" w:type="dxa"/>
          <w:bottom w:w="0" w:type="dxa"/>
          <w:right w:w="57" w:type="dxa"/>
        </w:tblCellMar>
      </w:tblPr>
      <w:tblGrid>
        <w:gridCol w:w="766"/>
        <w:gridCol w:w="935"/>
        <w:gridCol w:w="3312"/>
        <w:gridCol w:w="700"/>
        <w:gridCol w:w="700"/>
        <w:gridCol w:w="700"/>
        <w:gridCol w:w="700"/>
        <w:gridCol w:w="700"/>
        <w:gridCol w:w="700"/>
        <w:gridCol w:w="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2530" w:type="pct"/>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jc w:val="left"/>
            </w:pPr>
            <w:r>
              <w:rPr>
                <w:rFonts w:hint="eastAsia" w:ascii="楷体" w:hAnsi="楷体" w:eastAsia="楷体" w:cs="楷体"/>
                <w:kern w:val="0"/>
                <w:sz w:val="20"/>
                <w:szCs w:val="20"/>
                <w:lang w:bidi="ar"/>
              </w:rPr>
              <w:t>（本列数据的勾稽关系为：第一项加第二项之和，等于第三项加第四项之和）</w:t>
            </w:r>
          </w:p>
        </w:tc>
        <w:tc>
          <w:tcPr>
            <w:tcW w:w="2470" w:type="pct"/>
            <w:gridSpan w:val="7"/>
            <w:tcBorders>
              <w:top w:val="single" w:color="auto" w:sz="8" w:space="0"/>
              <w:left w:val="nil"/>
              <w:bottom w:val="single" w:color="auto" w:sz="8" w:space="0"/>
              <w:right w:val="single" w:color="auto" w:sz="8" w:space="0"/>
            </w:tcBorders>
            <w:vAlign w:val="center"/>
          </w:tcPr>
          <w:p>
            <w:pPr>
              <w:widowControl/>
              <w:spacing w:before="100" w:beforeAutospacing="1"/>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353" w:type="pct"/>
            <w:vMerge w:val="restart"/>
            <w:tcBorders>
              <w:top w:val="nil"/>
              <w:left w:val="nil"/>
              <w:bottom w:val="single" w:color="auto" w:sz="8" w:space="0"/>
              <w:right w:val="single" w:color="auto" w:sz="8" w:space="0"/>
            </w:tcBorders>
            <w:vAlign w:val="center"/>
          </w:tcPr>
          <w:p>
            <w:pPr>
              <w:widowControl/>
              <w:spacing w:before="100" w:beforeAutospacing="1"/>
              <w:jc w:val="center"/>
            </w:pPr>
            <w:r>
              <w:rPr>
                <w:rFonts w:hint="eastAsia" w:ascii="宋体" w:hAnsi="宋体" w:cs="宋体"/>
                <w:kern w:val="0"/>
                <w:sz w:val="20"/>
                <w:szCs w:val="20"/>
                <w:lang w:bidi="ar"/>
              </w:rPr>
              <w:t>自然人</w:t>
            </w:r>
          </w:p>
        </w:tc>
        <w:tc>
          <w:tcPr>
            <w:tcW w:w="1764" w:type="pct"/>
            <w:gridSpan w:val="5"/>
            <w:tcBorders>
              <w:top w:val="single" w:color="auto" w:sz="8" w:space="0"/>
              <w:left w:val="nil"/>
              <w:bottom w:val="single" w:color="auto" w:sz="8" w:space="0"/>
              <w:right w:val="single" w:color="auto" w:sz="8" w:space="0"/>
            </w:tcBorders>
            <w:vAlign w:val="center"/>
          </w:tcPr>
          <w:p>
            <w:pPr>
              <w:widowControl/>
              <w:spacing w:before="100" w:beforeAutospacing="1"/>
              <w:jc w:val="center"/>
            </w:pPr>
            <w:r>
              <w:rPr>
                <w:rFonts w:hint="eastAsia" w:ascii="宋体" w:hAnsi="宋体" w:cs="宋体"/>
                <w:kern w:val="0"/>
                <w:sz w:val="20"/>
                <w:szCs w:val="20"/>
                <w:lang w:bidi="ar"/>
              </w:rPr>
              <w:t>法人或其他组织</w:t>
            </w:r>
          </w:p>
        </w:tc>
        <w:tc>
          <w:tcPr>
            <w:tcW w:w="353" w:type="pct"/>
            <w:vMerge w:val="restart"/>
            <w:tcBorders>
              <w:top w:val="single" w:color="auto" w:sz="8" w:space="0"/>
              <w:left w:val="nil"/>
              <w:bottom w:val="outset" w:color="auto" w:sz="6" w:space="0"/>
              <w:right w:val="single" w:color="auto" w:sz="8" w:space="0"/>
            </w:tcBorders>
            <w:vAlign w:val="center"/>
          </w:tcPr>
          <w:p>
            <w:pPr>
              <w:widowControl/>
              <w:spacing w:before="100" w:beforeAutospacing="1"/>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0" w:type="auto"/>
            <w:vMerge w:val="continue"/>
            <w:tcBorders>
              <w:top w:val="nil"/>
              <w:left w:val="nil"/>
              <w:bottom w:val="single" w:color="auto" w:sz="8" w:space="0"/>
              <w:right w:val="single" w:color="auto" w:sz="8" w:space="0"/>
            </w:tcBorders>
            <w:vAlign w:val="center"/>
          </w:tcPr>
          <w:p>
            <w:pPr>
              <w:widowControl/>
              <w:jc w:val="left"/>
            </w:pP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hint="eastAsia" w:ascii="宋体" w:hAnsi="宋体" w:cs="宋体"/>
                <w:kern w:val="0"/>
                <w:sz w:val="20"/>
                <w:szCs w:val="20"/>
                <w:lang w:bidi="ar"/>
              </w:rPr>
              <w:t>商业</w:t>
            </w:r>
          </w:p>
          <w:p>
            <w:pPr>
              <w:widowControl/>
              <w:spacing w:before="100" w:beforeAutospacing="1"/>
              <w:jc w:val="center"/>
            </w:pPr>
            <w:r>
              <w:rPr>
                <w:rFonts w:hint="eastAsia" w:ascii="宋体" w:hAnsi="宋体" w:cs="宋体"/>
                <w:kern w:val="0"/>
                <w:sz w:val="20"/>
                <w:szCs w:val="20"/>
                <w:lang w:bidi="ar"/>
              </w:rPr>
              <w:t>企业</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hint="eastAsia" w:ascii="宋体" w:hAnsi="宋体" w:cs="宋体"/>
                <w:kern w:val="0"/>
                <w:sz w:val="20"/>
                <w:szCs w:val="20"/>
                <w:lang w:bidi="ar"/>
              </w:rPr>
              <w:t>科研</w:t>
            </w:r>
          </w:p>
          <w:p>
            <w:pPr>
              <w:widowControl/>
              <w:spacing w:before="100" w:beforeAutospacing="1"/>
              <w:jc w:val="center"/>
            </w:pPr>
            <w:r>
              <w:rPr>
                <w:rFonts w:hint="eastAsia" w:ascii="宋体" w:hAnsi="宋体" w:cs="宋体"/>
                <w:kern w:val="0"/>
                <w:sz w:val="20"/>
                <w:szCs w:val="20"/>
                <w:lang w:bidi="ar"/>
              </w:rPr>
              <w:t>机构</w:t>
            </w:r>
          </w:p>
        </w:tc>
        <w:tc>
          <w:tcPr>
            <w:tcW w:w="353" w:type="pct"/>
            <w:tcBorders>
              <w:top w:val="single" w:color="auto" w:sz="8" w:space="0"/>
              <w:left w:val="nil"/>
              <w:bottom w:val="single" w:color="auto" w:sz="8" w:space="0"/>
              <w:right w:val="single" w:color="auto" w:sz="8" w:space="0"/>
            </w:tcBorders>
            <w:vAlign w:val="center"/>
          </w:tcPr>
          <w:p>
            <w:pPr>
              <w:widowControl/>
              <w:spacing w:before="100" w:beforeAutospacing="1"/>
              <w:jc w:val="center"/>
            </w:pPr>
            <w:r>
              <w:rPr>
                <w:rFonts w:hint="eastAsia" w:ascii="宋体" w:hAnsi="宋体" w:cs="宋体"/>
                <w:kern w:val="0"/>
                <w:sz w:val="20"/>
                <w:szCs w:val="20"/>
                <w:lang w:bidi="ar"/>
              </w:rPr>
              <w:t>社会公益组织</w:t>
            </w:r>
          </w:p>
        </w:tc>
        <w:tc>
          <w:tcPr>
            <w:tcW w:w="353" w:type="pct"/>
            <w:tcBorders>
              <w:top w:val="single" w:color="auto" w:sz="8" w:space="0"/>
              <w:left w:val="nil"/>
              <w:bottom w:val="single" w:color="auto" w:sz="8" w:space="0"/>
              <w:right w:val="single" w:color="auto" w:sz="8" w:space="0"/>
            </w:tcBorders>
            <w:vAlign w:val="center"/>
          </w:tcPr>
          <w:p>
            <w:pPr>
              <w:widowControl/>
              <w:spacing w:before="100" w:beforeAutospacing="1"/>
              <w:jc w:val="center"/>
            </w:pPr>
            <w:r>
              <w:rPr>
                <w:rFonts w:hint="eastAsia" w:ascii="宋体" w:hAnsi="宋体" w:cs="宋体"/>
                <w:kern w:val="0"/>
                <w:sz w:val="20"/>
                <w:szCs w:val="20"/>
                <w:lang w:bidi="ar"/>
              </w:rPr>
              <w:t>法律服务机构</w:t>
            </w:r>
          </w:p>
        </w:tc>
        <w:tc>
          <w:tcPr>
            <w:tcW w:w="353" w:type="pct"/>
            <w:tcBorders>
              <w:top w:val="single" w:color="auto" w:sz="8" w:space="0"/>
              <w:left w:val="nil"/>
              <w:bottom w:val="single" w:color="auto" w:sz="8" w:space="0"/>
              <w:right w:val="single" w:color="auto" w:sz="8" w:space="0"/>
            </w:tcBorders>
            <w:vAlign w:val="center"/>
          </w:tcPr>
          <w:p>
            <w:pPr>
              <w:widowControl/>
              <w:spacing w:before="100" w:beforeAutospacing="1"/>
              <w:jc w:val="center"/>
            </w:pPr>
            <w:r>
              <w:rPr>
                <w:rFonts w:hint="eastAsia" w:ascii="宋体" w:hAnsi="宋体" w:cs="宋体"/>
                <w:kern w:val="0"/>
                <w:sz w:val="20"/>
                <w:szCs w:val="20"/>
                <w:lang w:bidi="ar"/>
              </w:rPr>
              <w:t>其他</w:t>
            </w:r>
          </w:p>
        </w:tc>
        <w:tc>
          <w:tcPr>
            <w:tcW w:w="0" w:type="auto"/>
            <w:vMerge w:val="continue"/>
            <w:tcBorders>
              <w:top w:val="single" w:color="auto" w:sz="8" w:space="0"/>
              <w:left w:val="nil"/>
              <w:bottom w:val="outset" w:color="auto" w:sz="6" w:space="0"/>
              <w:right w:val="single" w:color="auto" w:sz="8" w:space="0"/>
            </w:tcBorders>
            <w:vAlign w:val="center"/>
          </w:tcPr>
          <w:p>
            <w:pPr>
              <w:widowControl/>
              <w:jc w:val="left"/>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2530" w:type="pct"/>
            <w:gridSpan w:val="3"/>
            <w:tcBorders>
              <w:top w:val="nil"/>
              <w:left w:val="single" w:color="auto" w:sz="8" w:space="0"/>
              <w:bottom w:val="single" w:color="auto" w:sz="8"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一、本年新收政府信息公开申请数量</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2</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2530" w:type="pct"/>
            <w:gridSpan w:val="3"/>
            <w:tcBorders>
              <w:top w:val="nil"/>
              <w:left w:val="single" w:color="auto" w:sz="8" w:space="0"/>
              <w:bottom w:val="single" w:color="auto" w:sz="8"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二、上年结转政府信息公开申请数量</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387" w:type="pct"/>
            <w:vMerge w:val="restart"/>
            <w:tcBorders>
              <w:top w:val="nil"/>
              <w:left w:val="single" w:color="auto" w:sz="8" w:space="0"/>
              <w:bottom w:val="outset" w:color="auto" w:sz="6"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三、本年度办理结果</w:t>
            </w:r>
          </w:p>
        </w:tc>
        <w:tc>
          <w:tcPr>
            <w:tcW w:w="2143" w:type="pct"/>
            <w:gridSpan w:val="2"/>
            <w:tcBorders>
              <w:top w:val="nil"/>
              <w:left w:val="nil"/>
              <w:bottom w:val="single" w:color="auto" w:sz="8"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（一）予以公开</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2143" w:type="pct"/>
            <w:gridSpan w:val="2"/>
            <w:tcBorders>
              <w:top w:val="nil"/>
              <w:left w:val="nil"/>
              <w:bottom w:val="single" w:color="auto" w:sz="8"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472" w:type="pct"/>
            <w:vMerge w:val="restart"/>
            <w:tcBorders>
              <w:top w:val="nil"/>
              <w:left w:val="nil"/>
              <w:bottom w:val="outset" w:color="auto" w:sz="6"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（三）不予公开</w:t>
            </w: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1.属于国家秘密</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2.其他法律行政法规禁止公开</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3.危及“三安全一稳定”</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4.保护第三方合法权益</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2</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5.属于三类内部事务信息</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6.属于四类过程性信息</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7.属于行政执法案卷</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8.属于行政查询事项</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472" w:type="pct"/>
            <w:vMerge w:val="restart"/>
            <w:tcBorders>
              <w:top w:val="nil"/>
              <w:left w:val="nil"/>
              <w:bottom w:val="outset" w:color="auto" w:sz="6"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（四）无法提供</w:t>
            </w: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1.本机关不掌握相关政府信息</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2.没有现成信息需要另行制作</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3.补正后申请内容仍不明确</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472" w:type="pct"/>
            <w:vMerge w:val="restart"/>
            <w:tcBorders>
              <w:top w:val="nil"/>
              <w:left w:val="nil"/>
              <w:bottom w:val="outset" w:color="auto" w:sz="6"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（五）不予处理</w:t>
            </w:r>
          </w:p>
        </w:tc>
        <w:tc>
          <w:tcPr>
            <w:tcW w:w="1671" w:type="pct"/>
            <w:tcBorders>
              <w:top w:val="nil"/>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1.信访举报投诉类申请</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single" w:color="auto" w:sz="8" w:space="0"/>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2.重复申请</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single" w:color="auto" w:sz="8" w:space="0"/>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3.要求提供公开出版物</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single" w:color="auto" w:sz="8" w:space="0"/>
              <w:left w:val="nil"/>
              <w:bottom w:val="single" w:color="auto" w:sz="8" w:space="0"/>
              <w:right w:val="single" w:color="auto" w:sz="8" w:space="0"/>
            </w:tcBorders>
          </w:tcPr>
          <w:p>
            <w:pPr>
              <w:widowControl/>
              <w:spacing w:before="100" w:beforeAutospacing="1"/>
              <w:jc w:val="left"/>
            </w:pPr>
            <w:r>
              <w:rPr>
                <w:rFonts w:hint="eastAsia" w:ascii="宋体" w:hAnsi="宋体" w:cs="宋体"/>
                <w:kern w:val="0"/>
                <w:sz w:val="20"/>
                <w:szCs w:val="20"/>
                <w:lang w:bidi="ar"/>
              </w:rPr>
              <w:t>4.无正当理由大量反复申请</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single" w:color="auto" w:sz="8" w:space="0"/>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nil"/>
              <w:left w:val="nil"/>
              <w:bottom w:val="outset" w:color="auto" w:sz="6" w:space="0"/>
              <w:right w:val="single" w:color="auto" w:sz="8" w:space="0"/>
            </w:tcBorders>
            <w:vAlign w:val="center"/>
          </w:tcPr>
          <w:p>
            <w:pPr>
              <w:widowControl/>
              <w:jc w:val="left"/>
            </w:pPr>
          </w:p>
        </w:tc>
        <w:tc>
          <w:tcPr>
            <w:tcW w:w="1671" w:type="pct"/>
            <w:tcBorders>
              <w:top w:val="nil"/>
              <w:left w:val="nil"/>
              <w:bottom w:val="outset" w:color="auto" w:sz="6" w:space="0"/>
              <w:right w:val="single" w:color="auto" w:sz="8" w:space="0"/>
            </w:tcBorders>
            <w:vAlign w:val="center"/>
          </w:tcPr>
          <w:p>
            <w:pPr>
              <w:widowControl/>
              <w:spacing w:before="100" w:beforeAutospacing="1"/>
            </w:pPr>
            <w:r>
              <w:rPr>
                <w:rFonts w:hint="eastAsia" w:ascii="宋体" w:hAnsi="宋体" w:cs="宋体"/>
                <w:kern w:val="0"/>
                <w:sz w:val="20"/>
                <w:szCs w:val="20"/>
                <w:lang w:bidi="ar"/>
              </w:rPr>
              <w:t>5.要求行政机关确认或重新出具已获取信息</w:t>
            </w:r>
          </w:p>
        </w:tc>
        <w:tc>
          <w:tcPr>
            <w:tcW w:w="353" w:type="pct"/>
            <w:tcBorders>
              <w:top w:val="nil"/>
              <w:left w:val="nil"/>
              <w:bottom w:val="outset" w:color="auto" w:sz="6"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outset" w:color="auto" w:sz="6"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outset" w:color="auto" w:sz="6"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outset" w:color="auto" w:sz="6"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outset" w:color="auto" w:sz="6"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outset" w:color="auto" w:sz="6" w:space="0"/>
              <w:right w:val="single" w:color="auto" w:sz="8" w:space="0"/>
            </w:tcBorders>
          </w:tcPr>
          <w:p>
            <w:pPr>
              <w:widowControl/>
              <w:spacing w:before="100" w:beforeAutospacing="1"/>
              <w:jc w:val="center"/>
            </w:pPr>
            <w:r>
              <w:rPr>
                <w:rFonts w:cs="Calibri"/>
                <w:kern w:val="0"/>
                <w:sz w:val="20"/>
                <w:szCs w:val="20"/>
                <w:lang w:bidi="ar"/>
              </w:rPr>
              <w:t> 0</w:t>
            </w:r>
          </w:p>
        </w:tc>
        <w:tc>
          <w:tcPr>
            <w:tcW w:w="353" w:type="pct"/>
            <w:tcBorders>
              <w:top w:val="nil"/>
              <w:left w:val="nil"/>
              <w:bottom w:val="outset" w:color="auto" w:sz="6"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472" w:type="pct"/>
            <w:vMerge w:val="restart"/>
            <w:tcBorders>
              <w:top w:val="outset" w:color="auto" w:sz="6" w:space="0"/>
              <w:left w:val="nil"/>
              <w:bottom w:val="outset" w:color="auto" w:sz="6"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（六）其他处理</w:t>
            </w:r>
          </w:p>
        </w:tc>
        <w:tc>
          <w:tcPr>
            <w:tcW w:w="1671" w:type="pct"/>
            <w:tcBorders>
              <w:top w:val="nil"/>
              <w:left w:val="nil"/>
              <w:bottom w:val="single" w:color="auto" w:sz="8" w:space="0"/>
              <w:right w:val="single" w:color="auto" w:sz="8" w:space="0"/>
            </w:tcBorders>
            <w:vAlign w:val="center"/>
          </w:tcPr>
          <w:p>
            <w:pPr>
              <w:widowControl/>
              <w:spacing w:before="100" w:beforeAutospacing="1"/>
            </w:pPr>
            <w:r>
              <w:rPr>
                <w:rFonts w:hint="eastAsia" w:ascii="宋体" w:hAnsi="宋体" w:cs="宋体"/>
                <w:kern w:val="0"/>
                <w:sz w:val="20"/>
                <w:szCs w:val="20"/>
                <w:lang w:bidi="ar"/>
              </w:rPr>
              <w:t>1.申请人无正当理由逾期不补正、行政机关不再处理其政府信息公开申请</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outset" w:color="auto" w:sz="6" w:space="0"/>
              <w:left w:val="nil"/>
              <w:bottom w:val="outset" w:color="auto" w:sz="6" w:space="0"/>
              <w:right w:val="single" w:color="auto" w:sz="8" w:space="0"/>
            </w:tcBorders>
            <w:vAlign w:val="center"/>
          </w:tcPr>
          <w:p>
            <w:pPr>
              <w:widowControl/>
              <w:jc w:val="left"/>
            </w:pPr>
          </w:p>
        </w:tc>
        <w:tc>
          <w:tcPr>
            <w:tcW w:w="1671" w:type="pct"/>
            <w:tcBorders>
              <w:top w:val="nil"/>
              <w:left w:val="nil"/>
              <w:bottom w:val="single" w:color="auto" w:sz="8" w:space="0"/>
              <w:right w:val="single" w:color="auto" w:sz="8" w:space="0"/>
            </w:tcBorders>
            <w:vAlign w:val="center"/>
          </w:tcPr>
          <w:p>
            <w:pPr>
              <w:widowControl/>
              <w:spacing w:before="100" w:beforeAutospacing="1"/>
            </w:pPr>
            <w:r>
              <w:rPr>
                <w:rFonts w:hint="eastAsia" w:ascii="宋体" w:hAnsi="宋体" w:cs="宋体"/>
                <w:kern w:val="0"/>
                <w:sz w:val="20"/>
                <w:szCs w:val="20"/>
                <w:lang w:bidi="ar"/>
              </w:rPr>
              <w:t>2.申请人逾期未按收费通知要求缴纳费用、行政机关不再处理其政府信息公开申请</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0" w:type="auto"/>
            <w:vMerge w:val="continue"/>
            <w:tcBorders>
              <w:top w:val="outset" w:color="auto" w:sz="6" w:space="0"/>
              <w:left w:val="nil"/>
              <w:bottom w:val="outset" w:color="auto" w:sz="6" w:space="0"/>
              <w:right w:val="single" w:color="auto" w:sz="8" w:space="0"/>
            </w:tcBorders>
            <w:vAlign w:val="center"/>
          </w:tcPr>
          <w:p>
            <w:pPr>
              <w:widowControl/>
              <w:jc w:val="left"/>
            </w:pPr>
          </w:p>
        </w:tc>
        <w:tc>
          <w:tcPr>
            <w:tcW w:w="1671" w:type="pct"/>
            <w:tcBorders>
              <w:top w:val="nil"/>
              <w:left w:val="nil"/>
              <w:bottom w:val="single" w:color="auto" w:sz="8"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3.其他</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0" w:type="auto"/>
            <w:vMerge w:val="continue"/>
            <w:tcBorders>
              <w:top w:val="nil"/>
              <w:left w:val="single" w:color="auto" w:sz="8" w:space="0"/>
              <w:bottom w:val="outset" w:color="auto" w:sz="6" w:space="0"/>
              <w:right w:val="single" w:color="auto" w:sz="8" w:space="0"/>
            </w:tcBorders>
            <w:vAlign w:val="center"/>
          </w:tcPr>
          <w:p>
            <w:pPr>
              <w:widowControl/>
              <w:jc w:val="left"/>
            </w:pPr>
          </w:p>
        </w:tc>
        <w:tc>
          <w:tcPr>
            <w:tcW w:w="2143" w:type="pct"/>
            <w:gridSpan w:val="2"/>
            <w:tcBorders>
              <w:top w:val="nil"/>
              <w:left w:val="nil"/>
              <w:bottom w:val="single" w:color="auto" w:sz="8"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（七）总计</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2</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0 </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widowControl/>
              <w:spacing w:before="100" w:beforeAutospacing="1"/>
              <w:jc w:val="center"/>
            </w:pPr>
            <w:r>
              <w:rPr>
                <w:rFonts w:cs="Calibri"/>
                <w:kern w:val="0"/>
                <w:sz w:val="20"/>
                <w:szCs w:val="20"/>
                <w:lang w:bidi="ar"/>
              </w:rPr>
              <w:t> 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2530" w:type="pct"/>
            <w:gridSpan w:val="3"/>
            <w:tcBorders>
              <w:top w:val="nil"/>
              <w:left w:val="single" w:color="auto" w:sz="8" w:space="0"/>
              <w:bottom w:val="single" w:color="auto" w:sz="8" w:space="0"/>
              <w:right w:val="single" w:color="auto" w:sz="8" w:space="0"/>
            </w:tcBorders>
            <w:vAlign w:val="center"/>
          </w:tcPr>
          <w:p>
            <w:pPr>
              <w:widowControl/>
              <w:spacing w:before="100" w:beforeAutospacing="1"/>
              <w:jc w:val="left"/>
            </w:pPr>
            <w:r>
              <w:rPr>
                <w:rFonts w:hint="eastAsia" w:ascii="宋体" w:hAnsi="宋体" w:cs="宋体"/>
                <w:kern w:val="0"/>
                <w:sz w:val="20"/>
                <w:szCs w:val="20"/>
                <w:lang w:bidi="ar"/>
              </w:rPr>
              <w:t>四、结转下年度继续办理</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vAlign w:val="center"/>
          </w:tcPr>
          <w:p>
            <w:pPr>
              <w:widowControl/>
              <w:spacing w:before="100" w:beforeAutospacing="1"/>
              <w:jc w:val="center"/>
            </w:pPr>
            <w:r>
              <w:rPr>
                <w:rFonts w:cs="Calibri"/>
                <w:kern w:val="0"/>
                <w:sz w:val="20"/>
                <w:szCs w:val="20"/>
                <w:lang w:bidi="ar"/>
              </w:rPr>
              <w:t> 0</w:t>
            </w:r>
          </w:p>
        </w:tc>
        <w:tc>
          <w:tcPr>
            <w:tcW w:w="353" w:type="pct"/>
            <w:tcBorders>
              <w:top w:val="nil"/>
              <w:left w:val="nil"/>
              <w:bottom w:val="single" w:color="auto" w:sz="8" w:space="0"/>
              <w:right w:val="single" w:color="auto" w:sz="8" w:space="0"/>
            </w:tcBorders>
          </w:tcPr>
          <w:p>
            <w:pPr>
              <w:jc w:val="center"/>
              <w:rPr>
                <w:rFonts w:cstheme="minorHAnsi"/>
                <w:sz w:val="20"/>
                <w:szCs w:val="20"/>
              </w:rPr>
            </w:pPr>
            <w:r>
              <w:rPr>
                <w:rFonts w:cstheme="minorHAnsi"/>
                <w:sz w:val="20"/>
                <w:szCs w:val="20"/>
              </w:rPr>
              <w:t>0</w:t>
            </w:r>
          </w:p>
        </w:tc>
      </w:tr>
    </w:tbl>
    <w:p>
      <w:pPr>
        <w:widowControl/>
        <w:shd w:val="clear" w:color="auto" w:fill="FFFFFF"/>
        <w:snapToGrid w:val="0"/>
        <w:spacing w:line="585" w:lineRule="atLeast"/>
        <w:ind w:firstLine="709"/>
        <w:jc w:val="left"/>
        <w:rPr>
          <w:rFonts w:hint="eastAsia" w:ascii="微软雅黑" w:hAnsi="微软雅黑" w:eastAsia="宋体" w:cs="宋体"/>
          <w:color w:val="333333"/>
          <w:kern w:val="0"/>
          <w:szCs w:val="21"/>
        </w:rPr>
      </w:pPr>
      <w:r>
        <w:rPr>
          <w:rFonts w:hint="eastAsia" w:ascii="黑体" w:hAnsi="黑体" w:eastAsia="黑体" w:cs="宋体"/>
          <w:color w:val="000000"/>
          <w:kern w:val="0"/>
          <w:sz w:val="32"/>
          <w:szCs w:val="32"/>
          <w:shd w:val="clear" w:color="auto" w:fill="FFFFFF"/>
        </w:rPr>
        <w:t>四、政府信息公开行政复议、行政诉讼情况</w:t>
      </w:r>
    </w:p>
    <w:tbl>
      <w:tblPr>
        <w:tblStyle w:val="6"/>
        <w:tblW w:w="5000" w:type="pct"/>
        <w:tblInd w:w="0" w:type="dxa"/>
        <w:shd w:val="clear" w:color="auto" w:fill="FFFFFF"/>
        <w:tblLayout w:type="autofit"/>
        <w:tblCellMar>
          <w:top w:w="0" w:type="dxa"/>
          <w:left w:w="0" w:type="dxa"/>
          <w:bottom w:w="0" w:type="dxa"/>
          <w:right w:w="0" w:type="dxa"/>
        </w:tblCellMar>
      </w:tblPr>
      <w:tblGrid>
        <w:gridCol w:w="659"/>
        <w:gridCol w:w="659"/>
        <w:gridCol w:w="659"/>
        <w:gridCol w:w="659"/>
        <w:gridCol w:w="741"/>
        <w:gridCol w:w="609"/>
        <w:gridCol w:w="659"/>
        <w:gridCol w:w="659"/>
        <w:gridCol w:w="659"/>
        <w:gridCol w:w="675"/>
        <w:gridCol w:w="659"/>
        <w:gridCol w:w="659"/>
        <w:gridCol w:w="659"/>
        <w:gridCol w:w="659"/>
        <w:gridCol w:w="682"/>
      </w:tblGrid>
      <w:tr>
        <w:tblPrEx>
          <w:tblCellMar>
            <w:top w:w="0" w:type="dxa"/>
            <w:left w:w="0" w:type="dxa"/>
            <w:bottom w:w="0" w:type="dxa"/>
            <w:right w:w="0" w:type="dxa"/>
          </w:tblCellMar>
        </w:tblPrEx>
        <w:trPr>
          <w:trHeight w:val="495" w:hRule="atLeast"/>
        </w:trPr>
        <w:tc>
          <w:tcPr>
            <w:tcW w:w="1694" w:type="pct"/>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行政复议</w:t>
            </w:r>
          </w:p>
        </w:tc>
        <w:tc>
          <w:tcPr>
            <w:tcW w:w="3306" w:type="pct"/>
            <w:gridSpan w:val="10"/>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行政诉讼</w:t>
            </w:r>
          </w:p>
        </w:tc>
      </w:tr>
      <w:tr>
        <w:tblPrEx>
          <w:shd w:val="clear" w:color="auto" w:fill="FFFFFF"/>
          <w:tblCellMar>
            <w:top w:w="0" w:type="dxa"/>
            <w:left w:w="0" w:type="dxa"/>
            <w:bottom w:w="0" w:type="dxa"/>
            <w:right w:w="0" w:type="dxa"/>
          </w:tblCellMar>
        </w:tblPrEx>
        <w:trPr>
          <w:trHeight w:val="540" w:hRule="atLeast"/>
        </w:trPr>
        <w:tc>
          <w:tcPr>
            <w:tcW w:w="331"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结果</w:t>
            </w:r>
          </w:p>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维持</w:t>
            </w:r>
          </w:p>
        </w:tc>
        <w:tc>
          <w:tcPr>
            <w:tcW w:w="331"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结果纠正</w:t>
            </w:r>
          </w:p>
        </w:tc>
        <w:tc>
          <w:tcPr>
            <w:tcW w:w="331"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其他结果</w:t>
            </w:r>
          </w:p>
        </w:tc>
        <w:tc>
          <w:tcPr>
            <w:tcW w:w="331"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尚未</w:t>
            </w:r>
          </w:p>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审结</w:t>
            </w:r>
          </w:p>
        </w:tc>
        <w:tc>
          <w:tcPr>
            <w:tcW w:w="372"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总</w:t>
            </w:r>
          </w:p>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计</w:t>
            </w:r>
          </w:p>
        </w:tc>
        <w:tc>
          <w:tcPr>
            <w:tcW w:w="1636" w:type="pct"/>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未经复议直接起诉</w:t>
            </w:r>
          </w:p>
        </w:tc>
        <w:tc>
          <w:tcPr>
            <w:tcW w:w="1669" w:type="pct"/>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复议后起诉</w:t>
            </w:r>
          </w:p>
        </w:tc>
      </w:tr>
      <w:tr>
        <w:tblPrEx>
          <w:shd w:val="clear" w:color="auto" w:fill="FFFFFF"/>
          <w:tblCellMar>
            <w:top w:w="0" w:type="dxa"/>
            <w:left w:w="0" w:type="dxa"/>
            <w:bottom w:w="0" w:type="dxa"/>
            <w:right w:w="0" w:type="dxa"/>
          </w:tblCellMar>
        </w:tblPrEx>
        <w:trPr>
          <w:trHeight w:val="900" w:hRule="atLeast"/>
        </w:trPr>
        <w:tc>
          <w:tcPr>
            <w:tcW w:w="0" w:type="auto"/>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cs="宋体" w:asciiTheme="minorEastAsia" w:hAnsiTheme="minorEastAsia"/>
                <w:color w:val="333333"/>
                <w:kern w:val="0"/>
                <w:szCs w:val="21"/>
              </w:rPr>
            </w:pPr>
          </w:p>
        </w:tc>
        <w:tc>
          <w:tcPr>
            <w:tcW w:w="0" w:type="auto"/>
            <w:vMerge w:val="continue"/>
            <w:tcBorders>
              <w:top w:val="nil"/>
              <w:left w:val="nil"/>
              <w:bottom w:val="single" w:color="auto" w:sz="6" w:space="0"/>
              <w:right w:val="single" w:color="auto" w:sz="6" w:space="0"/>
            </w:tcBorders>
            <w:shd w:val="clear" w:color="auto" w:fill="FFFFFF"/>
            <w:vAlign w:val="center"/>
          </w:tcPr>
          <w:p>
            <w:pPr>
              <w:widowControl/>
              <w:jc w:val="left"/>
              <w:rPr>
                <w:rFonts w:cs="宋体" w:asciiTheme="minorEastAsia" w:hAnsiTheme="minorEastAsia"/>
                <w:color w:val="333333"/>
                <w:kern w:val="0"/>
                <w:szCs w:val="21"/>
              </w:rPr>
            </w:pPr>
          </w:p>
        </w:tc>
        <w:tc>
          <w:tcPr>
            <w:tcW w:w="0" w:type="auto"/>
            <w:vMerge w:val="continue"/>
            <w:tcBorders>
              <w:top w:val="nil"/>
              <w:left w:val="nil"/>
              <w:bottom w:val="single" w:color="auto" w:sz="6" w:space="0"/>
              <w:right w:val="single" w:color="auto" w:sz="6" w:space="0"/>
            </w:tcBorders>
            <w:shd w:val="clear" w:color="auto" w:fill="FFFFFF"/>
            <w:vAlign w:val="center"/>
          </w:tcPr>
          <w:p>
            <w:pPr>
              <w:widowControl/>
              <w:jc w:val="left"/>
              <w:rPr>
                <w:rFonts w:cs="宋体" w:asciiTheme="minorEastAsia" w:hAnsiTheme="minorEastAsia"/>
                <w:color w:val="333333"/>
                <w:kern w:val="0"/>
                <w:szCs w:val="21"/>
              </w:rPr>
            </w:pPr>
          </w:p>
        </w:tc>
        <w:tc>
          <w:tcPr>
            <w:tcW w:w="0" w:type="auto"/>
            <w:vMerge w:val="continue"/>
            <w:tcBorders>
              <w:top w:val="nil"/>
              <w:left w:val="nil"/>
              <w:bottom w:val="single" w:color="auto" w:sz="6" w:space="0"/>
              <w:right w:val="single" w:color="auto" w:sz="6" w:space="0"/>
            </w:tcBorders>
            <w:shd w:val="clear" w:color="auto" w:fill="FFFFFF"/>
            <w:vAlign w:val="center"/>
          </w:tcPr>
          <w:p>
            <w:pPr>
              <w:widowControl/>
              <w:jc w:val="left"/>
              <w:rPr>
                <w:rFonts w:cs="宋体" w:asciiTheme="minorEastAsia" w:hAnsiTheme="minorEastAsia"/>
                <w:color w:val="333333"/>
                <w:kern w:val="0"/>
                <w:szCs w:val="21"/>
              </w:rPr>
            </w:pPr>
          </w:p>
        </w:tc>
        <w:tc>
          <w:tcPr>
            <w:tcW w:w="0" w:type="auto"/>
            <w:vMerge w:val="continue"/>
            <w:tcBorders>
              <w:top w:val="nil"/>
              <w:left w:val="nil"/>
              <w:bottom w:val="single" w:color="auto" w:sz="6" w:space="0"/>
              <w:right w:val="single" w:color="auto" w:sz="6" w:space="0"/>
            </w:tcBorders>
            <w:shd w:val="clear" w:color="auto" w:fill="FFFFFF"/>
            <w:vAlign w:val="center"/>
          </w:tcPr>
          <w:p>
            <w:pPr>
              <w:widowControl/>
              <w:jc w:val="left"/>
              <w:rPr>
                <w:rFonts w:cs="宋体" w:asciiTheme="minorEastAsia" w:hAnsiTheme="minorEastAsia"/>
                <w:color w:val="333333"/>
                <w:kern w:val="0"/>
                <w:szCs w:val="21"/>
              </w:rPr>
            </w:pPr>
          </w:p>
        </w:tc>
        <w:tc>
          <w:tcPr>
            <w:tcW w:w="30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结果维持</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结果纠正</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其他</w:t>
            </w:r>
          </w:p>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结果</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尚未</w:t>
            </w:r>
          </w:p>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审结</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总计</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结果维持</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结果</w:t>
            </w:r>
          </w:p>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纠正</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其他</w:t>
            </w:r>
          </w:p>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结果</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尚未审结</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总计</w:t>
            </w:r>
          </w:p>
        </w:tc>
      </w:tr>
      <w:tr>
        <w:tblPrEx>
          <w:shd w:val="clear" w:color="auto" w:fill="FFFFFF"/>
          <w:tblCellMar>
            <w:top w:w="0" w:type="dxa"/>
            <w:left w:w="0" w:type="dxa"/>
            <w:bottom w:w="0" w:type="dxa"/>
            <w:right w:w="0" w:type="dxa"/>
          </w:tblCellMar>
        </w:tblPrEx>
        <w:tc>
          <w:tcPr>
            <w:tcW w:w="33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 0</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 0</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 0</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0 </w:t>
            </w:r>
          </w:p>
        </w:tc>
        <w:tc>
          <w:tcPr>
            <w:tcW w:w="37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 0</w:t>
            </w:r>
          </w:p>
        </w:tc>
        <w:tc>
          <w:tcPr>
            <w:tcW w:w="30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 0</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 0</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0 </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 0</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 0</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0 </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 0</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 0</w:t>
            </w:r>
          </w:p>
        </w:tc>
        <w:tc>
          <w:tcPr>
            <w:tcW w:w="3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0 </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85" w:lineRule="atLeast"/>
              <w:jc w:val="left"/>
              <w:rPr>
                <w:rFonts w:cs="宋体" w:asciiTheme="minorEastAsia" w:hAnsiTheme="minorEastAsia"/>
                <w:color w:val="333333"/>
                <w:kern w:val="0"/>
                <w:szCs w:val="21"/>
              </w:rPr>
            </w:pPr>
            <w:r>
              <w:rPr>
                <w:rFonts w:hint="eastAsia" w:cs="宋体" w:asciiTheme="minorEastAsia" w:hAnsiTheme="minorEastAsia"/>
                <w:color w:val="000000"/>
                <w:kern w:val="0"/>
                <w:sz w:val="20"/>
                <w:szCs w:val="20"/>
              </w:rPr>
              <w:t>0</w:t>
            </w:r>
          </w:p>
        </w:tc>
      </w:tr>
    </w:tbl>
    <w:p>
      <w:pPr>
        <w:widowControl/>
        <w:shd w:val="clear" w:color="auto" w:fill="FFFFFF"/>
        <w:snapToGrid w:val="0"/>
        <w:spacing w:line="555" w:lineRule="atLeast"/>
        <w:ind w:firstLine="709"/>
        <w:jc w:val="left"/>
        <w:rPr>
          <w:rFonts w:ascii="微软雅黑" w:hAnsi="微软雅黑" w:eastAsia="宋体" w:cs="宋体"/>
          <w:color w:val="333333"/>
          <w:kern w:val="0"/>
          <w:szCs w:val="21"/>
        </w:rPr>
      </w:pPr>
      <w:r>
        <w:rPr>
          <w:rFonts w:hint="eastAsia" w:ascii="黑体" w:hAnsi="黑体" w:eastAsia="黑体" w:cs="宋体"/>
          <w:color w:val="000000"/>
          <w:kern w:val="0"/>
          <w:sz w:val="32"/>
          <w:szCs w:val="32"/>
        </w:rPr>
        <w:t>五、政府信息公开工作存在的主要问题及改进情况</w:t>
      </w:r>
    </w:p>
    <w:p>
      <w:pPr>
        <w:widowControl/>
        <w:shd w:val="clear" w:color="auto" w:fill="FFFFFF"/>
        <w:tabs>
          <w:tab w:val="left" w:pos="567"/>
        </w:tabs>
        <w:snapToGrid w:val="0"/>
        <w:spacing w:line="555" w:lineRule="atLeast"/>
        <w:ind w:firstLine="709"/>
        <w:jc w:val="left"/>
        <w:rPr>
          <w:rFonts w:ascii="微软雅黑" w:hAnsi="微软雅黑" w:eastAsia="宋体" w:cs="宋体"/>
          <w:color w:val="333333"/>
          <w:kern w:val="0"/>
          <w:szCs w:val="21"/>
        </w:rPr>
      </w:pPr>
      <w:r>
        <w:rPr>
          <w:rFonts w:hint="eastAsia" w:ascii="仿宋_GB2312" w:hAnsi="微软雅黑" w:eastAsia="仿宋_GB2312" w:cs="宋体"/>
          <w:color w:val="000000"/>
          <w:kern w:val="0"/>
          <w:sz w:val="32"/>
          <w:szCs w:val="32"/>
        </w:rPr>
        <w:t>2021年，我局政府信息公开工作虽然取得了一定的成效，但也存在以下几方面问题：一是政务公开培训力度不够。二是政务公开工作长效机制不够完善，难以满足工作需要。三是在主动公开内容不够全面。</w:t>
      </w:r>
    </w:p>
    <w:p>
      <w:pPr>
        <w:widowControl/>
        <w:shd w:val="clear" w:color="auto" w:fill="FFFFFF"/>
        <w:snapToGrid w:val="0"/>
        <w:spacing w:line="585" w:lineRule="atLeast"/>
        <w:ind w:firstLine="709"/>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下一步，我局将根据市政府政府信息与政务公开部署要求，进一步充实信息公开内容，突出重点、热点问题，让更多公众了解政府信息的查询方式和基本内容，充分保障其知情权、参与权和监督权。</w:t>
      </w:r>
    </w:p>
    <w:p>
      <w:pPr>
        <w:widowControl/>
        <w:shd w:val="clear" w:color="auto" w:fill="FFFFFF"/>
        <w:snapToGrid w:val="0"/>
        <w:spacing w:line="585" w:lineRule="atLeast"/>
        <w:ind w:firstLine="705"/>
        <w:jc w:val="left"/>
        <w:rPr>
          <w:rFonts w:hint="eastAsia" w:ascii="微软雅黑" w:hAnsi="微软雅黑" w:eastAsia="宋体" w:cs="宋体"/>
          <w:color w:val="333333"/>
          <w:kern w:val="0"/>
          <w:szCs w:val="21"/>
        </w:rPr>
      </w:pPr>
      <w:r>
        <w:rPr>
          <w:rFonts w:hint="eastAsia" w:ascii="黑体" w:hAnsi="黑体" w:eastAsia="黑体" w:cs="宋体"/>
          <w:color w:val="000000"/>
          <w:kern w:val="0"/>
          <w:sz w:val="32"/>
          <w:szCs w:val="32"/>
        </w:rPr>
        <w:t>六、其他需要报告的事项</w:t>
      </w:r>
    </w:p>
    <w:p>
      <w:pPr>
        <w:widowControl/>
        <w:shd w:val="clear" w:color="auto" w:fill="FFFFFF"/>
        <w:snapToGrid w:val="0"/>
        <w:spacing w:line="585" w:lineRule="atLeast"/>
        <w:ind w:firstLine="705"/>
        <w:jc w:val="left"/>
        <w:rPr>
          <w:rFonts w:ascii="微软雅黑" w:hAnsi="微软雅黑" w:eastAsia="宋体" w:cs="宋体"/>
          <w:color w:val="333333"/>
          <w:kern w:val="0"/>
          <w:szCs w:val="21"/>
        </w:rPr>
      </w:pPr>
      <w:r>
        <w:rPr>
          <w:rFonts w:hint="eastAsia" w:ascii="仿宋_GB2312" w:hAnsi="微软雅黑" w:eastAsia="仿宋_GB2312" w:cs="宋体"/>
          <w:color w:val="000000"/>
          <w:kern w:val="0"/>
          <w:sz w:val="32"/>
          <w:szCs w:val="32"/>
        </w:rPr>
        <w:t>我局2021年度无其他需要报告的事项。</w:t>
      </w:r>
    </w:p>
    <w:p>
      <w:pPr>
        <w:widowControl/>
        <w:shd w:val="clear" w:color="auto" w:fill="FFFFFF"/>
        <w:snapToGrid w:val="0"/>
        <w:spacing w:line="585" w:lineRule="atLeast"/>
        <w:ind w:firstLine="705"/>
        <w:jc w:val="right"/>
        <w:rPr>
          <w:rFonts w:hint="eastAsia" w:ascii="仿宋_GB2312" w:hAnsi="微软雅黑" w:eastAsia="仿宋_GB2312" w:cs="宋体"/>
          <w:color w:val="000000"/>
          <w:kern w:val="0"/>
          <w:sz w:val="32"/>
          <w:szCs w:val="32"/>
          <w:lang w:eastAsia="zh-CN"/>
        </w:rPr>
      </w:pPr>
    </w:p>
    <w:p>
      <w:pPr>
        <w:widowControl/>
        <w:shd w:val="clear" w:color="auto" w:fill="FFFFFF"/>
        <w:snapToGrid w:val="0"/>
        <w:spacing w:line="585" w:lineRule="atLeast"/>
        <w:ind w:firstLine="705"/>
        <w:jc w:val="right"/>
        <w:rPr>
          <w:rFonts w:hint="eastAsia" w:ascii="仿宋_GB2312" w:hAnsi="微软雅黑" w:eastAsia="仿宋_GB2312" w:cs="宋体"/>
          <w:color w:val="000000"/>
          <w:kern w:val="0"/>
          <w:sz w:val="32"/>
          <w:szCs w:val="32"/>
          <w:lang w:eastAsia="zh-CN"/>
        </w:rPr>
      </w:pPr>
    </w:p>
    <w:p>
      <w:pPr>
        <w:widowControl/>
        <w:shd w:val="clear" w:color="auto" w:fill="FFFFFF"/>
        <w:snapToGrid w:val="0"/>
        <w:spacing w:line="585" w:lineRule="atLeast"/>
        <w:ind w:firstLine="705"/>
        <w:jc w:val="right"/>
        <w:rPr>
          <w:rFonts w:hint="eastAsia" w:ascii="仿宋_GB2312" w:hAnsi="微软雅黑" w:eastAsia="仿宋_GB2312" w:cs="宋体"/>
          <w:color w:val="000000"/>
          <w:kern w:val="0"/>
          <w:sz w:val="32"/>
          <w:szCs w:val="32"/>
          <w:lang w:eastAsia="zh-CN"/>
        </w:rPr>
      </w:pPr>
    </w:p>
    <w:p>
      <w:pPr>
        <w:widowControl/>
        <w:shd w:val="clear" w:color="auto" w:fill="FFFFFF"/>
        <w:snapToGrid w:val="0"/>
        <w:spacing w:line="585" w:lineRule="atLeast"/>
        <w:ind w:firstLine="705"/>
        <w:jc w:val="right"/>
        <w:rPr>
          <w:rFonts w:ascii="微软雅黑" w:hAnsi="微软雅黑" w:eastAsia="宋体" w:cs="宋体"/>
          <w:color w:val="333333"/>
          <w:kern w:val="0"/>
          <w:szCs w:val="21"/>
        </w:rPr>
      </w:pPr>
      <w:r>
        <w:rPr>
          <w:rFonts w:hint="eastAsia" w:ascii="仿宋_GB2312" w:hAnsi="微软雅黑" w:eastAsia="仿宋_GB2312" w:cs="宋体"/>
          <w:color w:val="000000"/>
          <w:kern w:val="0"/>
          <w:sz w:val="32"/>
          <w:szCs w:val="32"/>
        </w:rPr>
        <w:t>聊城市商务和投资促进局</w:t>
      </w:r>
    </w:p>
    <w:p>
      <w:pPr>
        <w:widowControl/>
        <w:shd w:val="clear" w:color="auto" w:fill="FFFFFF"/>
        <w:snapToGrid w:val="0"/>
        <w:spacing w:line="585" w:lineRule="atLeast"/>
        <w:ind w:right="645" w:firstLine="705"/>
        <w:jc w:val="right"/>
        <w:rPr>
          <w:rFonts w:ascii="微软雅黑" w:hAnsi="微软雅黑" w:eastAsia="宋体" w:cs="宋体"/>
          <w:color w:val="333333"/>
          <w:kern w:val="0"/>
          <w:szCs w:val="21"/>
        </w:rPr>
      </w:pPr>
      <w:r>
        <w:rPr>
          <w:rFonts w:hint="eastAsia" w:ascii="仿宋_GB2312" w:hAnsi="微软雅黑" w:eastAsia="仿宋_GB2312" w:cs="宋体"/>
          <w:color w:val="000000"/>
          <w:kern w:val="0"/>
          <w:sz w:val="32"/>
          <w:szCs w:val="32"/>
        </w:rPr>
        <w:t>2022年1月10日</w:t>
      </w:r>
    </w:p>
    <w:p>
      <w:pPr>
        <w:snapToGrid w:val="0"/>
        <w:ind w:firstLine="707" w:firstLineChars="221"/>
        <w:rPr>
          <w:rFonts w:ascii="仿宋_GB2312" w:eastAsia="仿宋_GB2312"/>
          <w:sz w:val="32"/>
          <w:szCs w:val="32"/>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NTNmYjhkYjMzM2M5MTA4YTc1NzJiYTI0MGE1NDMifQ=="/>
  </w:docVars>
  <w:rsids>
    <w:rsidRoot w:val="007643D0"/>
    <w:rsid w:val="002A5039"/>
    <w:rsid w:val="004265C2"/>
    <w:rsid w:val="00607298"/>
    <w:rsid w:val="007643D0"/>
    <w:rsid w:val="00902CB4"/>
    <w:rsid w:val="00A005EA"/>
    <w:rsid w:val="00A613E4"/>
    <w:rsid w:val="00A64293"/>
    <w:rsid w:val="00B112ED"/>
    <w:rsid w:val="00BC25E7"/>
    <w:rsid w:val="00C710A0"/>
    <w:rsid w:val="00C8269C"/>
    <w:rsid w:val="00E002F4"/>
    <w:rsid w:val="00F3537E"/>
    <w:rsid w:val="27557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11">
    <w:name w:val="页眉 Char"/>
    <w:basedOn w:val="7"/>
    <w:link w:val="4"/>
    <w:uiPriority w:val="99"/>
    <w:rPr>
      <w:rFonts w:asciiTheme="minorHAnsi" w:hAnsiTheme="minorHAnsi" w:eastAsiaTheme="minorEastAsia" w:cstheme="minorBidi"/>
      <w:kern w:val="2"/>
      <w:sz w:val="18"/>
      <w:szCs w:val="18"/>
    </w:rPr>
  </w:style>
  <w:style w:type="character" w:customStyle="1" w:styleId="12">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2378</Words>
  <Characters>2501</Characters>
  <Lines>21</Lines>
  <Paragraphs>6</Paragraphs>
  <TotalTime>156</TotalTime>
  <ScaleCrop>false</ScaleCrop>
  <LinksUpToDate>false</LinksUpToDate>
  <CharactersWithSpaces>2664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2022-01-10T00:11:00Z</dcterms:created>
  <dc:creator>zero</dc:creator>
  <cp:lastModifiedBy>郑锋</cp:lastModifiedBy>
  <dcterms:modified xsi:type="dcterms:W3CDTF">2022-08-08T01:35:57Z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058A0D3A0A3C420F958804246CE50AA8</vt:lpwstr>
  </property>
</Properties>
</file>